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5,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Scott Leonard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 and Director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Sustainable Opportunities Acquisition Corp.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1601 Bryan Street, Suite 4141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Dallas, Texas 75201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Sustainable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Opportunities Acquisition Corp.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S-4</w:t>
      </w:r>
    </w:p>
    <w:p>
      <w:pPr>
        <w:jc w:val="right"/>
        <w:ind w:right="18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April 8, 2021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333-255118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Leonard: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After reviewing any amendment to your registration statement and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you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in response to these comments, we may have additional comments.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S-4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Cover page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We note your disclosure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bolded language that public shareholders may elect to redeem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their Public Shares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even if they vote for the Business Combination Proposal. We further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your disclosures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pages 17 and F-8 that "each Public Shareholder may elect to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redeem their Public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 irrespective of whether they vote for or against the proposed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transaction." Please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your disclosures here and elsewhere to address the redemption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rights if a public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shareholder elects to redeem their public shares, without voting, and if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they do vote,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irrespective of whether they vote for or against the Business Combination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Proposal and the other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proposals herein.</w:t>
      </w: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have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included as separate proposals, Proposal 3, the Charter Proposal,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Proposal 4,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Organizational Documents Proposals. The Charter proposal appears to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Scott Leonard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 w:line="237" w:lineRule="auto"/>
        <w:tabs>
          <w:tab w:leader="none" w:pos="2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SustainableLastNameScott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Leonard Corp.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Opportunities Acquisition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7" w:lineRule="auto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</w:t>
        <w:tab/>
        <w:t>5, 2021NameSustainable Opportunities Acquisition Corp.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5,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2021 Page 2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4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a vote to approve the TMC Notice and Articles, and you direct investors to refer to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Proposal 4 the Organizational Documents Proposals to see a summary of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key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differences between the Memorandum and Articles of Association of SOAC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Cayman Islands law and the TMC Notice and Articles under the BCBCA. We</w:t>
      </w:r>
    </w:p>
    <w:p>
      <w:pPr>
        <w:sectPr>
          <w:pgSz w:w="11900" w:h="16849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that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approval of the Charter Proposal (with the exception of the change in authorized share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capital which requires an ordinary resolution) requires a special resolution under Cayman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Islands law, whereas the Organizational Documents Proposals require only a a non-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binding advisory resolution. It appears that under the Cayman Islands Companies Act and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SOAC's Amended and Restated Memorandum and Articles of Association 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may, by special resolution, alter its memorandum of association with respect to any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objects, powers or other matters specified therein. See e.g., Section 10 of the Cayman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Islands Companies Act and Section 18.3 of the SOAC amended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restated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memorandum. Please clarify why you have included the Charter Proposal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the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Organizational Documents Proposal as separate proposals, and tell us whether you will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stockholders with a separate vote regarding the the material changes to SOAC's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Memorandum and Articles of Association and subject such proposals to 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special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resolution under Cayman Islands law. For guidance, see also Question 201.01 of the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Interpretations.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 Exchange Act Rule 14a-4(a)(3) Compliance and Disclosure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1800" w:space="320"/>
            <w:col w:w="8019"/>
          </w:cols>
          <w:pgMar w:left="320" w:top="136" w:right="1440" w:bottom="0" w:gutter="0" w:footer="0" w:header="0"/>
          <w:type w:val="continuous"/>
        </w:sect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Also include in your subsequent amendment the form of proxy card for review and clarify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any proposal is conditioned upon another proposal.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 and Answers, page 8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include a separate question and answer to address the separate steps to the initial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combination and why you are including a Charter Proposal and a non-binding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advisory Organizational Documents Proposal.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include a separate question and answer to address the conflicts of interest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considered by the SOAC Board in its recommendation to enter into an initial business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 with DeepGreen, including a discussion of the Sponsor Earnout Shares. We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your disclosure on page 214 that "SOAC Board also considered that some officers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directors of SOAC might have interests in the Business Combination as individuals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are in addition to, and that may be different from, the interests of SOAC 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719" w:firstLine="948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shareholders." Risk Factors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Risks Relating to the Business Combination and SOAC, page 63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are registering only a portion of the common shares to be issued upon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closing of the business combination and related transactions, as well as your summary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 disclosure on page 39 that a significant portion of your total outstanding shares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restricted from immediate resale but may be sold into the market in the near future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could cause the market price of your Class A ordinary shares to drop significantly,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even if TMC s business is doing well. Please disclose the risks attendant to this scenario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Scott Leonard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 w:line="238" w:lineRule="auto"/>
        <w:tabs>
          <w:tab w:leader="none" w:pos="2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SustainableLastNameScott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Leonard Corp.</w:t>
      </w: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Opportunities Acquisition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</w:t>
        <w:tab/>
        <w:t>5, 2021NameSustainable Opportunities Acquisition Corp.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5,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 2021 Page 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6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 risk factors section, and within this revision, please quantify the number of such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 that could be sold into the market in the near future.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About DeepGreen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  <w:type w:val="continuous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Overview, page 113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overview of all your mineral properties. Please state which of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properties you consider to be material and describe to us the basis underlying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699" w:firstLine="948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materiality determination. Environmental Market Opportunity, page 117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that DeepGreen believes that it is positioned to become one of the lowest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ESG footprint metal companies in the industry, offering an expected 70-99% reduction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most lifecycle ESG impacts. Please define what you consider lifecycle ESG impacts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basis for your belief that DeepGreen will achieve a 70-99% reduction in such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impacts. Please also address any limitations to this belief. For example, in terms of per-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kilogram emissions from DeepGreen's production, it appears this may be relative to land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ore averages depending on if your contractor does not use hydropower or another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renewable source to process the nodule, as discussed in your White Paper Questions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Answers as available on DeepGreen's website. Summary of Mineral Resources, page 120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state your point of reference, such as in-situ, for all your resource estimates. See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2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1303(b)(3)(v) of Regulation S-K. Mineral resource estimate, page 139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 report wet tons quantities and abundance, along with dry weight percentages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your respective metal analyses. Please clarify this mixed disclosure and include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estimated moisture content along with the overall resource recovery factors as a footnote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339" w:firstLine="948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to your resource estimates. Mineral resource estimate, page 140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your mineral resource estimate for NORI Area D was determined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using a 4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kg/m2 abundance cut-off which was derived from the estimates of your</w:t>
      </w: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costs and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revenues presented in the NORI Technical Report Summary. Please disclose the method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calculation using your metal prices, mining/processing costs, and metallurgical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recoveries.</w:t>
      </w: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Assumed Economic Inputs, page 147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307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price estimate forecasts were provided by CRU International Limited.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the preparation date for this market report, confirm this is the same report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919" w:firstLine="105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Scott Leonard FirstName SustainableLastNameScott Leonard Corp.</w:t>
      </w:r>
    </w:p>
    <w:p>
      <w:pPr>
        <w:spacing w:after="0" w:line="19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Opportunities Acquisition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9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5, 2021NameSustainable Opportunities Acquisition Corp. May 5,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jc w:val="both"/>
        <w:ind w:right="823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Page 4 2021 Page 4 FirstName LastName</w:t>
      </w: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utilized in Exhibits 96.1 and 96.2, and provide a copy supplementally of this report.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Production schedule, page 147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cash flow analysis includes inferred resources which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to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approximately 2% of your total production. Please note Item 1302(d)(4)(ii)(C)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S-K requires disclosure, with equal prominence, of the results of the economic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analysis excluding inferred resources in addition to the results that include inferred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resources. In the event there is not a significant difference, make a statement to that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effect.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Employment Arrangements, page 163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disclosures related to DeepGreen's employment agreements with several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its officers that are currently in effect. We further note the disclosure that you are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currently negotiating employment agreements with these officers for the post-close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merger entity. Please file as exhibits to the registration statement the employment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agreements with DeepGreen's members of management.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DeepGreen's Management's Discussion and Analysis of Financial Condition and Results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Contractual Obligations and Commitments, page 174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14. You disclose here that as at December 31, 2020, DeepGreen s original commitment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$30 million in cash and 10 million common shares still remained to be completed as such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obligation is dependent upon successful completion by Allseas of the collector test. In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terms of the $30 million owed, please disclose here the timing of such payments disclosed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6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123-124, including that DeepGreen would pay to Allseas $10,000,000 on June 30,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 on confirmation of placing an order for certain equipment and demonstrating certain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progress on construction of the collector vehicle. Please disclose if this payment is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expected to be due on June 30, 2021.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Governing Law, page 203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disclosure that the Business Combination Agreement is governed by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construed in accordance with the laws of the State of Delaware, without giving effect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choice of law or conflict of law provision or rule (whether of the State of Delaware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 jurisdiction) that would cause the application of the law of any jurisdiction other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than the State of Delaware (except that the (i) Cayman Islands Companies Act (as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Revised) also applies to the Continuance and (ii) laws of the Province of British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Columbia, Canada also applies to the Continuance, the Preferred Share Conversion,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Convertible Debenture Conversion and corporate matters related to the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DeepGreen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Circular, the DeepGreen Securityholders meeting and the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Plan of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Arrangement). Please expand the disclosure here to provide additional details to this brief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reference and explain the instances when both the Cayman Islands Companies Act (as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919" w:firstLine="105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Scott Leonard FirstName SustainableLastNameScott Leonard Corp.</w:t>
      </w:r>
    </w:p>
    <w:p>
      <w:pPr>
        <w:spacing w:after="0" w:line="19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Opportunities Acquisition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9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5, 2021NameSustainable Opportunities Acquisition Corp. May 5,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jc w:val="both"/>
        <w:ind w:right="823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Page 5 2021 Page 5 FirstName LastName</w:t>
      </w: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Revised) and the laws of the Province of British Columbia, Canada would apply to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Continuance.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PIPE Financing, page 205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concurrently with the execution of the Business Combination Agreement,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SOAC entered into the Subscription Agreements with each of the PIPE Investors,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 to which the PIPE Investors have agreed to subscribe for and purchase,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SOAC has agreed to issue and sell to the PIPE Investors, an aggregate of 33,030,000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TMC Common Shares, for aggregate gross proceeds of $330,300,000, and that SOAC will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grant the PIPE Investors certain registration rights in connection with the PIPE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4" w:name="page5"/>
    <w:bookmarkEnd w:id="4"/>
    <w:p>
      <w:pPr>
        <w:ind w:right="297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Financing. We further note that the PIPE Investors will own approximately 11% of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outstanding TMC common stock after the initial business combination. Please revise to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identify the PIPE Investors.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4859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Proposal No. 2 --The Business Combination Proposal Background to the Business Combination, page 205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disclosure to discuss how the nature and amount of consideration,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structure and other material terms were determined, including how the parties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agreed to and the basis underpinning the pre-transaction equity value ascribed to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DeepGreen of $2.25 billion.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discuss the key finding with the respect to the due diligence review of DeepGreen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each of K&amp;E, ERM Consulting &amp; Engineering, Inc. and Riveron Consulting, LLC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provided SOAC between January 27, 2021 and March 3, 2021.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on page 206 that SOAC submitted non-binding term sheets or proposals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six potential business combination targets (including DeepGreen) that SOAC believed,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based on, among other things, its and its advisors preliminary due diligence and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07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evaluation and analysis, were most suitable for a business combination. You further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on page 208 that in connection with the execution of the Letter of Intent that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contained a binding exclusivity period, SOAC abandoned the other potential business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 opportunities. Revise to provide additional details explaining why SOAC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did not pursue a potential business combination with each of the five alternative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proposals.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65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disclosure that following a discussion on or about December 18, 2020 with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Nomura Securities International, Inc. (Nomura), DeepGreen s financial advisor, SOAC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informed Nomura that it wished to begin discussions regarding a potential business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 involving SOAC and DeepGreen. Please clarify who initiated contact related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initial business combination involving DeepGreen.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Scott Leonard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/>
        <w:tabs>
          <w:tab w:leader="none" w:pos="2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SustainableLastNameScott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Leonard Corp.</w:t>
      </w:r>
    </w:p>
    <w:p>
      <w:pPr>
        <w:ind w:left="128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Opportunities Acquisition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</w:t>
        <w:tab/>
        <w:t>5, 2021NameSustainable Opportunities Acquisition Corp.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5,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6 2021 Page 6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SOAC Board's Reasons for the Business Combination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Valuation supported by financial analysis and due diligence, page 213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that the SOAC Board determined that the valuation</w:t>
      </w:r>
    </w:p>
    <w:p>
      <w:pPr>
        <w:spacing w:after="0" w:line="233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analysis conducted by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SOAC s management team, based on the trading levels of comparable companies and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materials and financial projections provided by DeepGreen, supported the equity valuation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DeepGreen. Please disclose the financial projections provided by DeepGreen,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qualitative and quantitative disclosure of the material assumptions underlying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these financial projections. In this regard, for example, we note the financial projections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provided on slide 17 of the investor presentation filed in Exhibit 99.2 to your Form 8-K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4, 2021.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Exhibits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759" w:firstLine="8"/>
        <w:spacing w:after="0" w:line="235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file the Option and Services Agreement with Marawa and Kiribati. See Item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139" w:firstLine="948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601(b)(10) of Regulation S-K. Exhibit 96.1 - Introduction, page 31</w:t>
      </w:r>
    </w:p>
    <w:p>
      <w:pPr>
        <w:spacing w:after="0" w:line="16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state the qualified persons responsible for sections 8.4 and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8.5 of your technical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report.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96.1 - Sample preparation, analysis, and security, page 97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discuss the opinion of the qualified person in regards to the adequacy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sample preparation, security, and analytical procedures, as required by Item 601 paragraph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(96)(iii)(b)(8)(iv) of Regulation S-K or, alternatively tell us where this information 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jc w:val="both"/>
        <w:ind w:right="4859" w:firstLine="948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located in your technical report summary. Exhibit 96.1 - Mineral Resource Estimate, page 127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your mineral resource estimate for NORI Area D was determined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using a 4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kg/m2 abundance cut-off which was derived from the estimates of your</w:t>
      </w: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costs and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revenues presented in this Technical Report Summary. Please disclose the detailed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method of calculation using your metal prices, mining/processing costs, and metallurgical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recoveries. See Item 601 paragraph (96)(iii)(b)(11)(iii) of Regulation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S-K.</w:t>
      </w: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96.1 - Mineral Resource Classification, page 172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  <w:tab w:leader="none" w:pos="60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26.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discuss the qualified person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opinion on whether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 issues relating to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relevant technical and economic factors likely to influence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 of economic</w:t>
      </w:r>
    </w:p>
    <w:p>
      <w:pPr>
        <w:ind w:left="9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extraction can be resolved with further work as required by Item 601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paragraph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(96)(iii)(b)(11)(vii) of Regulation S-K.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Scott Leonard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/>
        <w:tabs>
          <w:tab w:leader="none" w:pos="2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SustainableLastNameScott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Leonard Corp.</w:t>
      </w:r>
    </w:p>
    <w:p>
      <w:pPr>
        <w:ind w:left="128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Opportunities Acquisition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</w:t>
        <w:tab/>
        <w:t>5, 2021NameSustainable Opportunities Acquisition Corp.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5,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7 2021 Page 7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96.1 - Market Studies, page 241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079" w:firstLine="8"/>
        <w:spacing w:after="0" w:line="235" w:lineRule="auto"/>
        <w:tabs>
          <w:tab w:leader="none" w:pos="948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price estimate forecasts were provided by CRU International Limited.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the preparation date for this market report and explain, with particularity,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reasons for using the selected prices, including the material assumptions underlying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those price selections. This explanation must include disclosure of the time frame used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estimate the commodity price and unit costs for cut-off grade estimation, and the reasons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justifying the selection of that time frame. See Item 601 paragraph (96)(iii)(b)(11)(iii)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S-K.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96.2 - Cut-off grade, page 175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your mineral resource estimate for TOML Areas were determined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using a 4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kg/m2 abundance cut-off which was derived from the estimates of your</w:t>
      </w: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costs and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revenues presented in the NORI Technical Report Summary. Please disclose the detailed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method of calculation using your metal prices, mining/processing costs, and metallurgical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3179" w:firstLine="948"/>
        <w:spacing w:after="0" w:line="290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recoveries. See Item 601 paragraph (96)(iii)(b)(11)(iii). Exhibit 96.2 - Mineral Resource Classification, page 176</w:t>
      </w:r>
    </w:p>
    <w:p>
      <w:pPr>
        <w:spacing w:after="0" w:line="16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759" w:firstLine="8"/>
        <w:spacing w:after="0" w:line="235" w:lineRule="auto"/>
        <w:tabs>
          <w:tab w:leader="none" w:pos="948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summary disclosure of the TOML Resources. Please separately report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TOML resources for Areas A, B, C, D, E, and F. Exhibit 96.2 - Market Studies, page 196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079" w:firstLine="8"/>
        <w:spacing w:after="0" w:line="235" w:lineRule="auto"/>
        <w:tabs>
          <w:tab w:leader="none" w:pos="948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price estimate forecasts were provided by CRU International Limited.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the preparation date for this market report and explain, with particularity,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reasons for using the selected prices, including the material assumptions underlying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those price selections. This explanation must include disclosure of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time frame used to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7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estimate the commodity price and unit costs for cut-off grade estimation, and the reasons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justifying the selection of that time frame. See Item 601 paragraph (96)(iii)(b)(11)(iii) of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S-K.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your analysis to explain the vote threshold required thereunder for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shareholder approval for the Business Combination Proposal to approve and adopt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Combination Agreement. In this regard, please tell us whether Sections 237.7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233.6 of the Caymans Islands Companies Act under the Cayman Islands Companies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 (a plan of merger or consolidation shall be authorised by each constituent company by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way of a special resolution) would be applicable.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include the Annexes within the table of contents.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Scott Leonard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Sustainable Opportunities Acquisition Corp.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5, 2021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8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Myra Moosariparambil, Staff Accountant, at (202)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551-3796 or Craig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4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Arakawa, Accounting Branch Chief, at (202) 551-3650 if you have questions regarding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on the financial statements and related matters. Please contact George K. Schuler at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59" w:firstLine="8"/>
        <w:spacing w:after="0" w:line="235" w:lineRule="auto"/>
        <w:tabs>
          <w:tab w:leader="none" w:pos="632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551-3718 for engineering related questions. Please contact Kevin Dougherty, Staff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Attorney, at (202) 551-3271 or Loan Lauren Nguyen, Legal Branch Chief, at (202) 551-3642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other questions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LastNameScott Leonard</w:t>
      </w:r>
    </w:p>
    <w:p>
      <w:pPr>
        <w:ind w:left="57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NameSustainable Opportunities Acquisition Corp.</w:t>
      </w:r>
    </w:p>
    <w:p>
      <w:pPr>
        <w:ind w:left="57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Energy &amp;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Transportation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5, 2021 Page 8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Julian Seiguer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41B71EFB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79E2A9E3"/>
    <w:multiLevelType w:val="hybridMultilevel"/>
    <w:lvl w:ilvl="0">
      <w:lvlJc w:val="left"/>
      <w:lvlText w:val="%1."/>
      <w:numFmt w:val="decimal"/>
      <w:start w:val="6"/>
    </w:lvl>
  </w:abstractNum>
  <w:abstractNum w:abstractNumId="2">
    <w:nsid w:val="7545E146"/>
    <w:multiLevelType w:val="hybridMultilevel"/>
    <w:lvl w:ilvl="0">
      <w:lvlJc w:val="left"/>
      <w:lvlText w:val="%1."/>
      <w:numFmt w:val="decimal"/>
      <w:start w:val="13"/>
    </w:lvl>
  </w:abstractNum>
  <w:abstractNum w:abstractNumId="3">
    <w:nsid w:val="515F007C"/>
    <w:multiLevelType w:val="hybridMultilevel"/>
    <w:lvl w:ilvl="0">
      <w:lvlJc w:val="left"/>
      <w:lvlText w:val="%1."/>
      <w:numFmt w:val="decimal"/>
      <w:start w:val="15"/>
    </w:lvl>
  </w:abstractNum>
  <w:abstractNum w:abstractNumId="4">
    <w:nsid w:val="5BD062C2"/>
    <w:multiLevelType w:val="hybridMultilevel"/>
    <w:lvl w:ilvl="0">
      <w:lvlJc w:val="left"/>
      <w:lvlText w:val="%1."/>
      <w:numFmt w:val="decimal"/>
      <w:start w:val="17"/>
    </w:lvl>
  </w:abstractNum>
  <w:abstractNum w:abstractNumId="5">
    <w:nsid w:val="12200854"/>
    <w:multiLevelType w:val="hybridMultilevel"/>
    <w:lvl w:ilvl="0">
      <w:lvlJc w:val="left"/>
      <w:lvlText w:val="%1."/>
      <w:numFmt w:val="decimal"/>
      <w:start w:val="20"/>
    </w:lvl>
  </w:abstractNum>
  <w:abstractNum w:abstractNumId="6">
    <w:nsid w:val="4DB127F8"/>
    <w:multiLevelType w:val="hybridMultilevel"/>
    <w:lvl w:ilvl="0">
      <w:lvlJc w:val="left"/>
      <w:lvlText w:val="%1."/>
      <w:numFmt w:val="decimal"/>
      <w:start w:val="21"/>
    </w:lvl>
  </w:abstractNum>
  <w:abstractNum w:abstractNumId="7">
    <w:nsid w:val="216231B"/>
    <w:multiLevelType w:val="hybridMultilevel"/>
    <w:lvl w:ilvl="0">
      <w:lvlJc w:val="left"/>
      <w:lvlText w:val="%1."/>
      <w:numFmt w:val="decimal"/>
      <w:start w:val="22"/>
    </w:lvl>
  </w:abstractNum>
  <w:abstractNum w:abstractNumId="8">
    <w:nsid w:val="1F16E9E8"/>
    <w:multiLevelType w:val="hybridMultilevel"/>
    <w:lvl w:ilvl="0">
      <w:lvlJc w:val="left"/>
      <w:lvlText w:val="%1."/>
      <w:numFmt w:val="decimal"/>
      <w:start w:val="24"/>
    </w:lvl>
  </w:abstractNum>
  <w:abstractNum w:abstractNumId="9">
    <w:nsid w:val="1190CDE7"/>
    <w:multiLevelType w:val="hybridMultilevel"/>
    <w:lvl w:ilvl="0">
      <w:lvlJc w:val="left"/>
      <w:lvlText w:val="%1."/>
      <w:numFmt w:val="decimal"/>
      <w:start w:val="27"/>
    </w:lvl>
  </w:abstractNum>
  <w:abstractNum w:abstractNumId="10">
    <w:nsid w:val="66EF438D"/>
    <w:multiLevelType w:val="hybridMultilevel"/>
    <w:lvl w:ilvl="0">
      <w:lvlJc w:val="left"/>
      <w:lvlText w:val="%1."/>
      <w:numFmt w:val="decimal"/>
      <w:start w:val="31"/>
    </w:lvl>
  </w:abstractNum>
  <w:abstractNum w:abstractNumId="11">
    <w:nsid w:val="140E0F76"/>
    <w:multiLevelType w:val="hybridMultilevel"/>
    <w:lvl w:ilvl="0">
      <w:lvlJc w:val="left"/>
      <w:lvlText w:val="(%1)"/>
      <w:numFmt w:val="decimal"/>
      <w:start w:val="202"/>
    </w:lvl>
  </w:abstractNum>
  <w:abstractNum w:abstractNumId="12">
    <w:nsid w:val="3352255A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2022-03-08T21:43:51Z</dcterms:created>
  <dcterms:modified xsi:type="dcterms:W3CDTF">2022-03-08T21:43:51Z</dcterms:modified>
</cp:coreProperties>
</file>