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 and 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Bryan Street, Suite 4141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Sustainable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27,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333-255118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Leonard: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comments apply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provide in response to these comments, we may have additional comments.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Mineral Resource Estimate, page 148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10 stating you included additional general disclosure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filing.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filing to include the cutoff grade calculation using your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costs and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km2 per year processed.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Analysis, page 153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disclosure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capital and operating costs based upon the NORI initial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assessment. Capital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cost estimates in an initial assessment must have an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level of at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least plus or minus 50% and a contingency level of no greater that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25% pursuant to Item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1302(d)(4)(i) of Regulation S-K. Please revise to include the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 w:line="237" w:lineRule="auto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NameSustainable Opportunities Acquisition Corp.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2021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level and contingency level of your initial assessment.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Cut Off Grade, page 160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25 stating you included additional general disclosure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filing. Please revise your filing to include the calculation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cutoff grade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your specific costs and disclose the annual km2 per year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processed. In addition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add to your LOM Production Summary tables, the annual area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processed or swept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your text, operational metrics, and lease area.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96.2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Cut-off grade, page 175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28 stating you included additional general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filing. Please revise your filing to include the cutoff grade calculation using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5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costs and the annual km2 per year processed. TOML Acquisition, page 187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disclosure, the TOML Exploration Contract is in the development stage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is defined by SK 1300 as a mineral property with reserves. At page 128,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DeepGreen is in the prefeasibility study phase, which also may imply you have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reserves. Please review your usage of the terms stage and phase throughout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filing and modify for clarity as necessary. For example, the statement on page 128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could be clarified to state DeepGreen is an exploration stage issuer with a completed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initial assessment that is currently working towards a prefeasibility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study.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31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Interests Do SOAC's Current Officers and Directors Have in the Business Combination,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11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revisions in response to comment 4. Please also revise to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quantify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current value of securities held, loans extended, fees due, and out-of-pocket expenses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which the sponsor and its affiliates are awaiting reimbursement.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similar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for the company s officers and directors, if material. Neither the SOAC Board nor any committee thereof obtained a third-party valuation, page 65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17. Please revise this risk factor to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highlight that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DeepGreen's valuation was based on projected EBITDA in 2027 which was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substantively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derived from an initial assessment which contained various assumptions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limitations.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Additionally, please disclose here or in a new risk factor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risks to unaffiliated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investors presented by taking DeepGreen public through a merger rather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than an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</w:p>
    <w:p>
      <w:pPr>
        <w:spacing w:after="0"/>
        <w:tabs>
          <w:tab w:leader="none" w:pos="2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SustainableLastNameScott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Leonard Corp.</w:t>
      </w:r>
    </w:p>
    <w:p>
      <w:pPr>
        <w:ind w:left="12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Opportunities Acquisition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NameSustainable Opportunities Acquisition Corp.</w:t>
      </w:r>
    </w:p>
    <w:p>
      <w:pPr>
        <w:ind w:left="5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2021 Page 3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underwritten offering. These risks could include the absence of due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diligence conducted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by an underwriter that would be subject to liability for any material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misstatements or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omissions in a registration statement.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Balance Sheet, page 86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historical equity balances of SOAC as of March 31, 2021 are consistent with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balances presented in SOAC's Form 10-Q filed May, 25, 2021, however they are not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consistent with the balances presented in the condensed balance sheet as of March 31,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on page F-26. Please explain this discrepancy or revise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throughout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filing, as needed.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Balance Sheet Adjustments, page 90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adjustments 2(k) and 3(b) related to the first two milestone payments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#3 to your PMTS agreement with Allseas. We understand that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requires confirmation from Allseas of placing orders of certain equipment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demonstrating certain progress on construction of the collector vehicle and the second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 requires confirmation of successful collection of the North Sea test. Please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if these milestone events have occurred or if you have assessed them as probable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occur, providing details sufficient to understand the status of meeting these milestones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support your pro forma adjustments. Environmental Market Opportunity, page 124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7. In terms of the ESG footprints of metals production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nodules, please address here and in the Risk Factors section the limitations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uncertainties of calculating the relative impacts and benefits from land-based and deep-sea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mining, such as those that are discussed in your white paper "Where Should Metals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the Green Transition Come From?" available at your website. For example, describe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most significant impact of nodule collection, including the biodiversity impacts,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related assumptions that are suggested in your white paper.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further explain and provide supplemental support for your claim that "as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compared to land-based sources, polymetallic nodule collection has many advantages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allow DeepGreen to reduce the potential environmental and social impact of primary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metal production, including the potential for up to a 90% reduction in climate change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impacts." Please also disclose any material assumptions which underlie this statement.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Trends, Opportunities and Uncertainties, page 177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7. Please revise this section to enhance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describe any known trends and uncertainties related to DeepGreen's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 which might be impacted by environmental, climate and other governmental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regulations for deep sea mineral exploration and collection activities.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Scott Leonard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Sustainable Opportunities Acquisition Corp. June 16,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of Securities, page 198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person(s) who directly or indirectly exercise sole or shared voting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control over the shares held by Ramas Energy Opportunities I, L.P. Refer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403 of Regulation S-K.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to the Business Combination, page 219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6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19. Please revise to expand your disclosure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alternative companies and transactions, and disclose the reasons why you did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pursue each alternative.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DeepGreen Projected Financial Information , page 228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632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 disclosure in response to comment 21. You revised to disclose that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DeepGreen unaudited prospective financial information was based on an economic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included in the NORI Technical Report Summary filed as Exhibit 96.1 prepared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223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AMC. Please also revise to disclose the assumptions underlying the projections for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accuracy and contingency levels determined by the qualified person in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NORI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Technical Report. Please also disclose here the assumption that the date of the investment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decision (decision to mine) on the NORI Contract Area is expected to be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or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around June 30, 2023.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Myra Moosariparambil, Staff Accountant, at (202)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551-3796 or Craig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Arakawa, Accounting Branch Chief, at (202) 551-3650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George K. Schuler 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35" w:lineRule="auto"/>
        <w:tabs>
          <w:tab w:leader="none" w:pos="632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551-3718 for engineering related questions. Please contact Kevin Dougherty, Staff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551-3271 or Loan Lauren Nguyen, Legal Branch Chief, at (202) 551-3642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 questions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LastNameScott Leonard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NameSustainable Opportunities Acquisition Corp.</w:t>
      </w:r>
    </w:p>
    <w:p>
      <w:pPr>
        <w:ind w:left="57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2021 Page 4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Julian Seiguer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07ED7AB"/>
    <w:multiLevelType w:val="hybridMultilevel"/>
    <w:lvl w:ilvl="0">
      <w:lvlJc w:val="left"/>
      <w:lvlText w:val="%1:"/>
      <w:numFmt w:val="upperLetter"/>
      <w:start w:val="17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6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8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9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4"/>
    </w:lvl>
  </w:abstractNum>
  <w:abstractNum w:abstractNumId="7">
    <w:nsid w:val="515F007C"/>
    <w:multiLevelType w:val="hybridMultilevel"/>
    <w:lvl w:ilvl="0">
      <w:lvlJc w:val="left"/>
      <w:lvlText w:val="(%1)"/>
      <w:numFmt w:val="decimal"/>
      <w:start w:val="202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2022-03-08T21:36:56Z</dcterms:created>
  <dcterms:modified xsi:type="dcterms:W3CDTF">2022-03-08T21:36:56Z</dcterms:modified>
</cp:coreProperties>
</file>