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Craig Shesky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TMC the metals Co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595 Howe Street, 10th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Vancouver, British Columbia V6C 2T5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TMC the metals Co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25,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001-39281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Craig Shesky: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49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 Risk Factors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ability to generate revenue will be diminished if we are unable to compete with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substitutions for the minerals..., page 56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graphic on page 11 of the evolution of cathode chemistry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across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passenger EVs, which discloses LFP batteries growing their market share from 4% in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2015 to 42% in 2023. Accordingly, please revise this risk factor to disclose not just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"if these industries shift to new technologies or products (e.g., nickel-rich battery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chemistries could be replaced by other battery chemistries that do not use nickel or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cobalt such as lithium iron phosphate (LFP)...)...it could result in a decline in demand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our metal products"; but to also disclose the present increase in usage of LFP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battery chemistry in EVs and any impact on the demand for your proposed products.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ind w:right="7719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 December 20, 2024 Page 2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right="297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Joanna Lam at 202-551-3476 or Craig Arakawa at 202-551-3650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Kevin Dougherty at 202-551-3271 or Daniel Morris at 202-551-3314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Kajunski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2025-03-05T23:11:24Z</dcterms:created>
  <dcterms:modified xsi:type="dcterms:W3CDTF">2025-03-05T23:11:24Z</dcterms:modified>
</cp:coreProperties>
</file>