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TMC the metals Co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TMC Common Shares without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87261Y106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0000FF"/>
        </w:rPr>
        <w:t>Jeremy Covino</w:t>
      </w:r>
    </w:p>
    <w:p>
      <w:pPr>
        <w:spacing w:after="0" w:line="8"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b w:val="1"/>
          <w:bCs w:val="1"/>
          <w:color w:val="0000FF"/>
        </w:rPr>
        <w:t>399 Park Avenue,</w:t>
      </w:r>
    </w:p>
    <w:p>
      <w:pPr>
        <w:ind w:left="384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10022</w:t>
      </w:r>
    </w:p>
    <w:p>
      <w:pPr>
        <w:spacing w:after="0" w:line="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0000FF"/>
        </w:rPr>
        <w:t>(212) 756-3174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05/12/2025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87261Y106</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FIRST MANHATTAN CO. LLC.</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866" w:right="339" w:bottom="0" w:gutter="0" w:footer="0" w:header="0"/>
        </w:sectPr>
      </w:pPr>
    </w:p>
    <w:bookmarkStart w:id="1" w:name="page2"/>
    <w:bookmarkEnd w:id="1"/>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22,991,050.00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22,991,050.00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22,991,050.00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 IA</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87261Y106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Zachary A. Wydra</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ectPr>
          <w:pgSz w:w="11900" w:h="16849" w:orient="portrait"/>
          <w:cols w:equalWidth="0" w:num="1">
            <w:col w:w="10099"/>
          </w:cols>
          <w:pgMar w:left="360" w:top="111" w:right="1440" w:bottom="0" w:gutter="0" w:footer="0" w:header="0"/>
          <w:type w:val="continuous"/>
        </w:sectPr>
      </w:pPr>
    </w:p>
    <w:bookmarkStart w:id="2" w:name="page3"/>
    <w:bookmarkEnd w:id="2"/>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22,991,050.00</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22,991,050.00</w:t>
            </w:r>
          </w:p>
        </w:tc>
        <w:tc>
          <w:tcPr>
            <w:tcW w:w="0" w:type="dxa"/>
            <w:vAlign w:val="bottom"/>
          </w:tcPr>
          <w:p>
            <w:pPr>
              <w:spacing w:after="0"/>
              <w:rPr>
                <w:sz w:val="1"/>
                <w:szCs w:val="1"/>
                <w:color w:val="auto"/>
              </w:rPr>
            </w:pPr>
          </w:p>
        </w:tc>
      </w:tr>
      <w:tr>
        <w:trPr>
          <w:trHeight w:val="33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22,991,050.00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6.5 %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HC, IA</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-1130300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87261Y106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FMC Group Holdings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22,991,050.00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22,991,050.00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22,991,050.00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ectPr>
          <w:pgSz w:w="11900" w:h="16860" w:orient="portrait"/>
          <w:cols w:equalWidth="0" w:num="2">
            <w:col w:w="1060" w:space="60"/>
            <w:col w:w="8979"/>
          </w:cols>
          <w:pgMar w:left="360" w:top="102"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6.5 %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 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87261Y106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First Manhattan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6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22,991,050.00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22,991,050.00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22,991,050.00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ectPr>
          <w:pgSz w:w="11900" w:h="16838" w:orient="portrait"/>
          <w:cols w:equalWidth="0" w:num="2">
            <w:col w:w="1060" w:space="60"/>
            <w:col w:w="8979"/>
          </w:cols>
          <w:pgMar w:left="360" w:top="61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612" w:right="1440" w:bottom="0" w:gutter="0" w:footer="0" w:header="0"/>
          <w:type w:val="continuous"/>
        </w:sectPr>
      </w:pPr>
    </w:p>
    <w:bookmarkStart w:id="4" w:name="page5"/>
    <w:bookmarkEnd w:id="4"/>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TMC Common Shares without par value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TMC the metals Co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right="240" w:firstLine="932"/>
        <w:spacing w:after="0" w:line="283" w:lineRule="auto"/>
        <w:rPr>
          <w:sz w:val="20"/>
          <w:szCs w:val="20"/>
          <w:color w:val="auto"/>
        </w:rPr>
      </w:pPr>
      <w:r>
        <w:rPr>
          <w:rFonts w:ascii="Times New Roman" w:cs="Times New Roman" w:eastAsia="Times New Roman" w:hAnsi="Times New Roman"/>
          <w:sz w:val="22"/>
          <w:szCs w:val="22"/>
          <w:color w:val="auto"/>
        </w:rPr>
        <w:t>1111 WEST HASTINGS STREET, 15TH FLOOR, VANCOUVER, BRITISH COLUMBIA, CANADA , V6E 2J3. Item 2. Identity and Background</w:t>
      </w:r>
    </w:p>
    <w:p>
      <w:pPr>
        <w:ind w:left="940" w:right="640"/>
        <w:spacing w:after="0" w:line="253" w:lineRule="auto"/>
        <w:rPr>
          <w:sz w:val="20"/>
          <w:szCs w:val="20"/>
          <w:color w:val="auto"/>
        </w:rPr>
      </w:pPr>
      <w:r>
        <w:rPr>
          <w:rFonts w:ascii="Times New Roman" w:cs="Times New Roman" w:eastAsia="Times New Roman" w:hAnsi="Times New Roman"/>
          <w:sz w:val="21"/>
          <w:szCs w:val="21"/>
          <w:color w:val="auto"/>
        </w:rPr>
        <w:t>This Statement is filed by: (i) First Manhattan Co. LLC, an SEC-registered investment adviser; (ii) Zachary A. Wydra, Chief Executive Officer of First Manhattan Co. LLC and FMC Group Holdings, L.P. and the Portfolio</w:t>
      </w:r>
    </w:p>
    <w:p>
      <w:pPr>
        <w:spacing w:after="0" w:line="1" w:lineRule="exact"/>
        <w:rPr>
          <w:sz w:val="20"/>
          <w:szCs w:val="20"/>
          <w:color w:val="auto"/>
        </w:rPr>
      </w:pPr>
    </w:p>
    <w:p>
      <w:pPr>
        <w:ind w:left="940" w:right="140" w:hanging="932"/>
        <w:spacing w:after="0" w:line="235"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Manager of the Accounts (as defined below); (iii) First Manhattan Management LLC, the general partner of FMC Group Holdings, L.P.; and (iv) FMC Group Holdings, L.P., the parent holding company of First Manhattan Co. LLC (the "Reporting Persons").</w:t>
      </w:r>
    </w:p>
    <w:p>
      <w:pPr>
        <w:sectPr>
          <w:pgSz w:w="11900" w:h="16838" w:orient="portrait"/>
          <w:cols w:equalWidth="0" w:num="1">
            <w:col w:w="11140"/>
          </w:cols>
          <w:pgMar w:left="360" w:top="193" w:right="399" w:bottom="0" w:gutter="0" w:footer="0" w:header="0"/>
        </w:sectPr>
      </w:pP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The business address of each of the Reporting Persons is 399 Park Avenue, New York, New York 10022.</w:t>
      </w:r>
    </w:p>
    <w:p>
      <w:pPr>
        <w:spacing w:after="0" w:line="44"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The principal business of each of the Reporting Persons is providing investment advisory, wealth management, and related services.</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22"/>
          <w:szCs w:val="22"/>
          <w:color w:val="auto"/>
        </w:rPr>
        <w:t>Mr. Wydra is a U.S. citizen. Each of the other Reporting Persons is an entity formed under the laws of the State of Delaware.</w:t>
      </w:r>
    </w:p>
    <w:p>
      <w:pPr>
        <w:spacing w:after="0"/>
        <w:rPr>
          <w:sz w:val="20"/>
          <w:szCs w:val="20"/>
          <w:color w:val="auto"/>
        </w:rPr>
      </w:pPr>
      <w:r>
        <w:rPr>
          <w:rFonts w:ascii="Times New Roman" w:cs="Times New Roman" w:eastAsia="Times New Roman" w:hAnsi="Times New Roman"/>
          <w:sz w:val="22"/>
          <w:szCs w:val="22"/>
          <w:color w:val="auto"/>
        </w:rPr>
        <w:t>Source and Amount of Funds or Other Consideration</w:t>
      </w:r>
    </w:p>
    <w:p>
      <w:pPr>
        <w:spacing w:after="0" w:line="4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The Common Stock referred to in Item 5 is held in investment accounts, including accounts of advisory clients, partners, and employees of First Manhattan Co. LLC, over which First Manhattan Co. LLC and Mr. Wydra, as Portfolio Manager, have investment discretion (the "Accounts"). Accordingly, the Reporting Persons may be deemed to have voting and dispositive power over the Common Stock held in the Accounts. 4,625,000 shares of such Common Stock (which includes 375,000 shares of common stock underlying warrants that are exercisable within 60 days) are owned by Mr. Wydra personally. The aggregate purchase price of the Common Stock referred to in Item 5 is $17,594,806.50 (the "Amount"), which were purchased using available funds in the Accounts.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Purpose of Transaction</w:t>
      </w:r>
    </w:p>
    <w:p>
      <w:pPr>
        <w:spacing w:after="0" w:line="44" w:lineRule="exact"/>
        <w:rPr>
          <w:sz w:val="20"/>
          <w:szCs w:val="20"/>
          <w:color w:val="auto"/>
        </w:rPr>
      </w:pPr>
    </w:p>
    <w:p>
      <w:pPr>
        <w:sectPr>
          <w:pgSz w:w="11900" w:h="16838" w:orient="portrait"/>
          <w:cols w:equalWidth="0" w:num="2">
            <w:col w:w="620" w:space="320"/>
            <w:col w:w="10200"/>
          </w:cols>
          <w:pgMar w:left="360" w:top="193" w:right="399" w:bottom="0" w:gutter="0" w:footer="0" w:header="0"/>
          <w:type w:val="continuous"/>
        </w:sectPr>
      </w:pPr>
    </w:p>
    <w:p>
      <w:pPr>
        <w:ind w:left="940" w:right="20"/>
        <w:spacing w:after="0" w:line="244" w:lineRule="auto"/>
        <w:rPr>
          <w:sz w:val="20"/>
          <w:szCs w:val="20"/>
          <w:color w:val="auto"/>
        </w:rPr>
      </w:pPr>
      <w:r>
        <w:rPr>
          <w:rFonts w:ascii="Times New Roman" w:cs="Times New Roman" w:eastAsia="Times New Roman" w:hAnsi="Times New Roman"/>
          <w:sz w:val="21"/>
          <w:szCs w:val="21"/>
          <w:color w:val="auto"/>
        </w:rPr>
        <w:t>The Reporting Persons initially acquired the Common Stock because they believed that the Common Stock represented an attractive investment opportunity. On May 12, 2025, Mr. Wydra, the CEO of FMC Group Holdings L.P. and First Manhattan Co. LLC and the Portfolio Manager of the Accounts, became a Board Observer of the Board of Directors of the Issuer. As a result of this Board Observer position, Mr. Wydra expects to participate in discussions with management of the Issuer, the Board of Directors of the Issuer, other shareholders of the Issuer, and other relevant parties with respect to the Issuer's business, operations, strategy, and related matters. Depending upon, among other things, the outcome of the discussions referenced above, current and future trading prices for the shares of the Common Stock, the financial condition, results of operations and prospects of the Issuer and its businesses, other investment opportunities available to the Reporting Persons and the Accounts, conditions in the securities markets, general economic conditions, and other factors that the Reporting Persons deems relevant, the Reporting Persons may from time to time acquire additional shares of Common Stock and warrants or sell shares of Common Stock in the open market, in privately negotiated transactions or otherwise, and may take such other actions with respect to their investment in the Issuer as they may deem appropriate, including, without limitation, changing their intention with respect any of the matters enumerated in clauses (a) through (j) of Item 4 of Schedule 13D</w:t>
      </w:r>
    </w:p>
    <w:p>
      <w:pPr>
        <w:spacing w:after="0" w:line="1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spacing w:after="0" w:line="253" w:lineRule="auto"/>
        <w:rPr>
          <w:sz w:val="20"/>
          <w:szCs w:val="20"/>
          <w:color w:val="auto"/>
        </w:rPr>
      </w:pPr>
      <w:r>
        <w:rPr>
          <w:rFonts w:ascii="Times New Roman" w:cs="Times New Roman" w:eastAsia="Times New Roman" w:hAnsi="Times New Roman"/>
          <w:sz w:val="21"/>
          <w:szCs w:val="21"/>
          <w:color w:val="auto"/>
        </w:rPr>
        <w:t>The aggregate number of shares of Common Stock to which this Statement relates is 22,991,050, which includes 5,237,500 shares of Common Stock underlying warrants exercisable within 60 days that are held by the Accounts (the</w:t>
      </w:r>
    </w:p>
    <w:p>
      <w:pPr>
        <w:spacing w:after="0" w:line="1" w:lineRule="exact"/>
        <w:rPr>
          <w:sz w:val="20"/>
          <w:szCs w:val="20"/>
          <w:color w:val="auto"/>
        </w:rPr>
      </w:pPr>
    </w:p>
    <w:p>
      <w:pPr>
        <w:ind w:left="940" w:right="120" w:hanging="932"/>
        <w:spacing w:after="0" w:line="189" w:lineRule="auto"/>
        <w:tabs>
          <w:tab w:leader="none" w:pos="94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"Warrants"). Such shares of Common Stock constitute approximately 6.51% of the Issuer's currently outstanding Common Stock, based upon the 347,910,742 shares of Common Stock outstanding as of March 20, 2025 as reported in the Issuer's Annual Report on Form 10-K for the period ended December 31, 2024 filed with the Securities and Exchange Commission, and the Warrants.</w:t>
      </w:r>
    </w:p>
    <w:p>
      <w:pPr>
        <w:spacing w:after="0" w:line="14" w:lineRule="exact"/>
        <w:rPr>
          <w:rFonts w:ascii="Times New Roman" w:cs="Times New Roman" w:eastAsia="Times New Roman" w:hAnsi="Times New Roman"/>
          <w:sz w:val="43"/>
          <w:szCs w:val="43"/>
          <w:color w:val="auto"/>
          <w:vertAlign w:val="subscript"/>
        </w:rPr>
      </w:pPr>
    </w:p>
    <w:p>
      <w:pPr>
        <w:ind w:left="940" w:right="160" w:hanging="932"/>
        <w:spacing w:after="0" w:line="185" w:lineRule="auto"/>
        <w:tabs>
          <w:tab w:leader="none" w:pos="94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Reporting Persons may be deemed to have shared voting power and shared dispositive power over the shares of Common Stock to which this Statement relates.</w:t>
      </w:r>
    </w:p>
    <w:p>
      <w:pPr>
        <w:spacing w:after="0" w:line="17" w:lineRule="exact"/>
        <w:rPr>
          <w:rFonts w:ascii="Times New Roman" w:cs="Times New Roman" w:eastAsia="Times New Roman" w:hAnsi="Times New Roman"/>
          <w:sz w:val="39"/>
          <w:szCs w:val="39"/>
          <w:color w:val="auto"/>
          <w:vertAlign w:val="subscript"/>
        </w:rPr>
      </w:pPr>
    </w:p>
    <w:p>
      <w:pPr>
        <w:ind w:left="940" w:right="760" w:hanging="932"/>
        <w:spacing w:after="0" w:line="185" w:lineRule="auto"/>
        <w:tabs>
          <w:tab w:leader="none" w:pos="94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Schedule A hereto (which is incorporated by reference in this Item 5 as if restated in full herein) sets forth all transactions with respect to the Shares effected during the past 60 days by the Reporting Persons.</w:t>
      </w:r>
    </w:p>
    <w:p>
      <w:pPr>
        <w:spacing w:after="0" w:line="17" w:lineRule="exact"/>
        <w:rPr>
          <w:rFonts w:ascii="Times New Roman" w:cs="Times New Roman" w:eastAsia="Times New Roman" w:hAnsi="Times New Roman"/>
          <w:sz w:val="39"/>
          <w:szCs w:val="39"/>
          <w:color w:val="auto"/>
          <w:vertAlign w:val="subscript"/>
        </w:rPr>
      </w:pPr>
    </w:p>
    <w:p>
      <w:pPr>
        <w:ind w:left="94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The ultimate owners of the Accounts have the right to participate in the receipt of dividends from, or proceeds from</w:t>
      </w:r>
    </w:p>
    <w:p>
      <w:pPr>
        <w:spacing w:after="0" w:line="14" w:lineRule="exact"/>
        <w:rPr>
          <w:rFonts w:ascii="Times New Roman" w:cs="Times New Roman" w:eastAsia="Times New Roman" w:hAnsi="Times New Roman"/>
          <w:sz w:val="39"/>
          <w:szCs w:val="39"/>
          <w:color w:val="auto"/>
          <w:vertAlign w:val="subscript"/>
        </w:rPr>
      </w:pPr>
    </w:p>
    <w:p>
      <w:pPr>
        <w:ind w:left="940" w:right="160" w:hanging="932"/>
        <w:spacing w:after="0" w:line="237" w:lineRule="auto"/>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of, the shares of Common Stock to which this Statement relates in accordance with their respective interests in the Accounts.</w:t>
      </w:r>
    </w:p>
    <w:p>
      <w:pPr>
        <w:spacing w:after="0" w:line="16"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ectPr>
          <w:pgSz w:w="11900" w:h="16838" w:orient="portrait"/>
          <w:cols w:equalWidth="0" w:num="1">
            <w:col w:w="11140"/>
          </w:cols>
          <w:pgMar w:left="360" w:top="193" w:right="399" w:bottom="0" w:gutter="0" w:footer="0" w:header="0"/>
          <w:type w:val="continuous"/>
        </w:sectPr>
      </w:pPr>
    </w:p>
    <w:bookmarkStart w:id="5" w:name="page6"/>
    <w:bookmarkEnd w:id="5"/>
    <w:p>
      <w:pPr>
        <w:ind w:left="940" w:right="320"/>
        <w:spacing w:after="0" w:line="238" w:lineRule="auto"/>
        <w:rPr>
          <w:sz w:val="20"/>
          <w:szCs w:val="20"/>
          <w:color w:val="auto"/>
        </w:rPr>
      </w:pPr>
      <w:r>
        <w:rPr>
          <w:rFonts w:ascii="Times New Roman" w:cs="Times New Roman" w:eastAsia="Times New Roman" w:hAnsi="Times New Roman"/>
          <w:sz w:val="22"/>
          <w:szCs w:val="22"/>
          <w:color w:val="auto"/>
        </w:rPr>
        <w:t>A Board Observer Agreement, dated May 12, 2025 between the Issuer and Mr. Wydra, details the terms of Mr. Wydra's Board Observer position ("Board Observer Agreement"). Certain agreements and undertakings by the Reporting Persons in connection with the purchase of the shares of Common Stock and Warrants to which this Statement relates are set forth in Securities Purchase Agreements, dated August 14, 2023, November 15, 2024 and first amended November 26, 2024, with the Issuer.</w:t>
      </w:r>
    </w:p>
    <w:p>
      <w:pPr>
        <w:spacing w:after="0" w:line="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right="1460"/>
        <w:spacing w:after="0" w:line="255" w:lineRule="auto"/>
        <w:rPr>
          <w:sz w:val="20"/>
          <w:szCs w:val="20"/>
          <w:color w:val="auto"/>
        </w:rPr>
      </w:pPr>
      <w:r>
        <w:rPr>
          <w:rFonts w:ascii="Times New Roman" w:cs="Times New Roman" w:eastAsia="Times New Roman" w:hAnsi="Times New Roman"/>
          <w:sz w:val="21"/>
          <w:szCs w:val="21"/>
          <w:color w:val="auto"/>
        </w:rPr>
        <w:t>Exhibit 1: Agreement Joint Filing of Schedule 13D Exhibit 2: Board Observer Agreement https://www.sec.gov/Archives/edgar/data/1798562/000110465923091027/tm2323509d2_ex10-1.htm https://www.sec.gov/Archives/edgar/data/1798562/000110465924119790/tm2427511d3_ex10-1.htm https://www.sec.gov/Archives/edgar/data/1798562/000110465924119790/tm2427511d3_ex10-1.htm</w:t>
      </w:r>
    </w:p>
    <w:p>
      <w:pPr>
        <w:spacing w:after="0" w:line="27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FIRST MANHATTAN CO. LLC.</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Jeremy Covino</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Chief Compliance Officer</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Zachary A. Wydra</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Zachary A. Wydra</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05/13/2025</w:t>
      </w:r>
    </w:p>
    <w:p>
      <w:pPr>
        <w:spacing w:after="0" w:line="152"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FMC Group Holdings 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Andrew Aspen</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05/13/2025</w:t>
      </w:r>
    </w:p>
    <w:p>
      <w:pPr>
        <w:spacing w:after="0" w:line="15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First Manhattan Management LLC</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Andrew Aspen</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05/13/2025</w:t>
      </w:r>
    </w:p>
    <w:p>
      <w:pPr>
        <w:sectPr>
          <w:pgSz w:w="11900" w:h="16838" w:orient="portrait"/>
          <w:cols w:equalWidth="0" w:num="1">
            <w:col w:w="11140"/>
          </w:cols>
          <w:pgMar w:left="360" w:top="111" w:right="39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Exhibit 99.1 Agreement Joint Filing of Schedule 13D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undersigned hereby agree to jointly prepare and file with regulatory authorities this Schedule 13D and any future amendments thereto reporting each of the undersigned’ ownership of securities of TMC the metals Co Inc. and hereby affirm this Schedule 13D is being filed on behalf of each of the undersigned pursuant to and in accordance with the provisions of Rule 13d-1(k) under the Securities Exchange Act of 1934. The undersigned acknowledge that each is responsible for the timely filing of such amendments, and for the completeness and accuracy of the information concerning the other, except to the extent that it or he knows or has reason to believe that such information is inaccurate.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FIRST MANHATTAN CO. LLC.</w:t>
      </w:r>
    </w:p>
    <w:p>
      <w:pPr>
        <w:spacing w:after="0"/>
        <w:rPr>
          <w:sz w:val="20"/>
          <w:szCs w:val="20"/>
          <w:color w:val="auto"/>
        </w:rPr>
      </w:pPr>
      <w:r>
        <w:rPr>
          <w:rFonts w:ascii="Times New Roman" w:cs="Times New Roman" w:eastAsia="Times New Roman" w:hAnsi="Times New Roman"/>
          <w:sz w:val="20"/>
          <w:szCs w:val="20"/>
          <w:color w:val="auto"/>
        </w:rPr>
        <w:t>Signature: Jeremy Covino</w:t>
      </w:r>
    </w:p>
    <w:p>
      <w:pPr>
        <w:spacing w:after="0"/>
        <w:rPr>
          <w:sz w:val="20"/>
          <w:szCs w:val="20"/>
          <w:color w:val="auto"/>
        </w:rPr>
      </w:pPr>
      <w:r>
        <w:rPr>
          <w:rFonts w:ascii="Times New Roman" w:cs="Times New Roman" w:eastAsia="Times New Roman" w:hAnsi="Times New Roman"/>
          <w:sz w:val="20"/>
          <w:szCs w:val="20"/>
          <w:color w:val="auto"/>
        </w:rPr>
        <w:t>Name/Title: Chief Compliance Officer</w:t>
      </w:r>
    </w:p>
    <w:p>
      <w:pPr>
        <w:spacing w:after="0"/>
        <w:rPr>
          <w:sz w:val="20"/>
          <w:szCs w:val="20"/>
          <w:color w:val="auto"/>
        </w:rPr>
      </w:pPr>
      <w:r>
        <w:rPr>
          <w:rFonts w:ascii="Times New Roman" w:cs="Times New Roman" w:eastAsia="Times New Roman" w:hAnsi="Times New Roman"/>
          <w:sz w:val="20"/>
          <w:szCs w:val="20"/>
          <w:color w:val="auto"/>
        </w:rPr>
        <w:t>Date: 05/13/2025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FMC Group Holdings LP</w:t>
      </w:r>
    </w:p>
    <w:p>
      <w:pPr>
        <w:spacing w:after="0"/>
        <w:rPr>
          <w:sz w:val="20"/>
          <w:szCs w:val="20"/>
          <w:color w:val="auto"/>
        </w:rPr>
      </w:pPr>
      <w:r>
        <w:rPr>
          <w:rFonts w:ascii="Times New Roman" w:cs="Times New Roman" w:eastAsia="Times New Roman" w:hAnsi="Times New Roman"/>
          <w:sz w:val="20"/>
          <w:szCs w:val="20"/>
          <w:color w:val="auto"/>
        </w:rPr>
        <w:t>Signature: Andrew Aspen</w:t>
      </w:r>
    </w:p>
    <w:p>
      <w:pPr>
        <w:spacing w:after="0"/>
        <w:rPr>
          <w:sz w:val="20"/>
          <w:szCs w:val="20"/>
          <w:color w:val="auto"/>
        </w:rPr>
      </w:pPr>
      <w:r>
        <w:rPr>
          <w:rFonts w:ascii="Times New Roman" w:cs="Times New Roman" w:eastAsia="Times New Roman" w:hAnsi="Times New Roman"/>
          <w:sz w:val="20"/>
          <w:szCs w:val="20"/>
          <w:color w:val="auto"/>
        </w:rPr>
        <w:t>Name/Title: Authorized Signatory</w:t>
      </w:r>
    </w:p>
    <w:p>
      <w:pPr>
        <w:spacing w:after="0"/>
        <w:rPr>
          <w:sz w:val="20"/>
          <w:szCs w:val="20"/>
          <w:color w:val="auto"/>
        </w:rPr>
      </w:pPr>
      <w:r>
        <w:rPr>
          <w:rFonts w:ascii="Times New Roman" w:cs="Times New Roman" w:eastAsia="Times New Roman" w:hAnsi="Times New Roman"/>
          <w:sz w:val="20"/>
          <w:szCs w:val="20"/>
          <w:color w:val="auto"/>
        </w:rPr>
        <w:t>Date: 05/13/2025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7"/>
          <w:szCs w:val="27"/>
          <w:color w:val="auto"/>
        </w:rPr>
        <w:t>___________________________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First Manhattan Management LLC</w:t>
      </w:r>
    </w:p>
    <w:p>
      <w:pPr>
        <w:spacing w:after="0"/>
        <w:rPr>
          <w:sz w:val="20"/>
          <w:szCs w:val="20"/>
          <w:color w:val="auto"/>
        </w:rPr>
      </w:pPr>
      <w:r>
        <w:rPr>
          <w:rFonts w:ascii="Times New Roman" w:cs="Times New Roman" w:eastAsia="Times New Roman" w:hAnsi="Times New Roman"/>
          <w:sz w:val="20"/>
          <w:szCs w:val="20"/>
          <w:color w:val="auto"/>
        </w:rPr>
        <w:t>Signature: Andrew Aspen</w:t>
      </w:r>
    </w:p>
    <w:p>
      <w:pPr>
        <w:spacing w:after="0"/>
        <w:rPr>
          <w:sz w:val="20"/>
          <w:szCs w:val="20"/>
          <w:color w:val="auto"/>
        </w:rPr>
      </w:pPr>
      <w:r>
        <w:rPr>
          <w:rFonts w:ascii="Times New Roman" w:cs="Times New Roman" w:eastAsia="Times New Roman" w:hAnsi="Times New Roman"/>
          <w:sz w:val="20"/>
          <w:szCs w:val="20"/>
          <w:color w:val="auto"/>
        </w:rPr>
        <w:t>Name/Title: Authorized Signatory</w:t>
      </w:r>
    </w:p>
    <w:p>
      <w:pPr>
        <w:spacing w:after="0"/>
        <w:rPr>
          <w:sz w:val="20"/>
          <w:szCs w:val="20"/>
          <w:color w:val="auto"/>
        </w:rPr>
      </w:pPr>
      <w:r>
        <w:rPr>
          <w:rFonts w:ascii="Times New Roman" w:cs="Times New Roman" w:eastAsia="Times New Roman" w:hAnsi="Times New Roman"/>
          <w:sz w:val="20"/>
          <w:szCs w:val="20"/>
          <w:color w:val="auto"/>
        </w:rPr>
        <w:t>Date: 05/13/2025</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ZACHARY A. WYDRA</w:t>
      </w:r>
    </w:p>
    <w:p>
      <w:pPr>
        <w:spacing w:after="0"/>
        <w:rPr>
          <w:sz w:val="20"/>
          <w:szCs w:val="20"/>
          <w:color w:val="auto"/>
        </w:rPr>
      </w:pPr>
      <w:r>
        <w:rPr>
          <w:rFonts w:ascii="Times New Roman" w:cs="Times New Roman" w:eastAsia="Times New Roman" w:hAnsi="Times New Roman"/>
          <w:sz w:val="20"/>
          <w:szCs w:val="20"/>
          <w:color w:val="auto"/>
        </w:rPr>
        <w:t>Signature: Zachary A. Wydra</w:t>
      </w:r>
    </w:p>
    <w:p>
      <w:pPr>
        <w:spacing w:after="0"/>
        <w:rPr>
          <w:sz w:val="20"/>
          <w:szCs w:val="20"/>
          <w:color w:val="auto"/>
        </w:rPr>
      </w:pPr>
      <w:r>
        <w:rPr>
          <w:rFonts w:ascii="Times New Roman" w:cs="Times New Roman" w:eastAsia="Times New Roman" w:hAnsi="Times New Roman"/>
          <w:sz w:val="20"/>
          <w:szCs w:val="20"/>
          <w:color w:val="auto"/>
        </w:rPr>
        <w:t>Date: 05/13/2025</w:t>
      </w:r>
    </w:p>
    <w:p>
      <w:pPr>
        <w:sectPr>
          <w:pgSz w:w="11900" w:h="16838" w:orient="portrait"/>
          <w:cols w:equalWidth="0" w:num="1">
            <w:col w:w="11240"/>
          </w:cols>
          <w:pgMar w:left="320" w:top="114"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A</w:t>
      </w:r>
    </w:p>
    <w:p>
      <w:pPr>
        <w:spacing w:after="0" w:line="1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following table sets forth all transactions with respect to the shares effected during the past 60 days by any of the Reporting Persons. Except as otherwise noted, all such transactions in the table were effected in the open market, and the table includes commissions paid in per share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271145</wp:posOffset>
            </wp:positionV>
            <wp:extent cx="8255" cy="1551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1551305"/>
                    </a:xfrm>
                    <a:prstGeom prst="rect">
                      <a:avLst/>
                    </a:prstGeom>
                    <a:noFill/>
                  </pic:spPr>
                </pic:pic>
              </a:graphicData>
            </a:graphic>
          </wp:anchor>
        </w:drawing>
      </w:r>
    </w:p>
    <w:p>
      <w:pPr>
        <w:spacing w:after="0" w:line="387"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800" w:type="dxa"/>
            <w:vAlign w:val="bottom"/>
            <w:tcBorders>
              <w:top w:val="single" w:sz="8" w:color="auto"/>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color w:val="auto"/>
              </w:rPr>
              <w:t>Date of TransactionShares Purchased (Sold)</w:t>
            </w:r>
          </w:p>
        </w:tc>
        <w:tc>
          <w:tcPr>
            <w:tcW w:w="16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Price per Share $</w:t>
            </w:r>
          </w:p>
        </w:tc>
      </w:tr>
      <w:tr>
        <w:trPr>
          <w:trHeight w:val="223"/>
        </w:trPr>
        <w:tc>
          <w:tcPr>
            <w:tcW w:w="1580" w:type="dxa"/>
            <w:vAlign w:val="bottom"/>
            <w:tcBorders>
              <w:left w:val="single" w:sz="8" w:color="auto"/>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03/24/2025</w:t>
            </w:r>
          </w:p>
        </w:tc>
        <w:tc>
          <w:tcPr>
            <w:tcW w:w="2220" w:type="dxa"/>
            <w:vAlign w:val="bottom"/>
            <w:tcBorders>
              <w:bottom w:val="single" w:sz="8" w:color="auto"/>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(25,000)</w:t>
            </w:r>
          </w:p>
        </w:tc>
        <w:tc>
          <w:tcPr>
            <w:tcW w:w="1660" w:type="dxa"/>
            <w:vAlign w:val="bottom"/>
            <w:tcBorders>
              <w:bottom w:val="single" w:sz="8" w:color="auto"/>
              <w:right w:val="single" w:sz="8" w:color="auto"/>
            </w:tcBorders>
          </w:tcPr>
          <w:p>
            <w:pPr>
              <w:spacing w:after="0" w:line="223" w:lineRule="exact"/>
              <w:rPr>
                <w:sz w:val="20"/>
                <w:szCs w:val="20"/>
                <w:color w:val="auto"/>
              </w:rPr>
            </w:pPr>
            <w:r>
              <w:rPr>
                <w:rFonts w:ascii="Times New Roman" w:cs="Times New Roman" w:eastAsia="Times New Roman" w:hAnsi="Times New Roman"/>
                <w:sz w:val="20"/>
                <w:szCs w:val="20"/>
                <w:color w:val="auto"/>
              </w:rPr>
              <w:t>1.80</w:t>
            </w:r>
          </w:p>
        </w:tc>
      </w:tr>
      <w:tr>
        <w:trPr>
          <w:trHeight w:val="223"/>
        </w:trPr>
        <w:tc>
          <w:tcPr>
            <w:tcW w:w="1580" w:type="dxa"/>
            <w:vAlign w:val="bottom"/>
            <w:tcBorders>
              <w:left w:val="single" w:sz="8" w:color="auto"/>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04/08/2025</w:t>
            </w:r>
          </w:p>
        </w:tc>
        <w:tc>
          <w:tcPr>
            <w:tcW w:w="2220" w:type="dxa"/>
            <w:vAlign w:val="bottom"/>
            <w:tcBorders>
              <w:bottom w:val="single" w:sz="8" w:color="auto"/>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(175,000)</w:t>
            </w:r>
          </w:p>
        </w:tc>
        <w:tc>
          <w:tcPr>
            <w:tcW w:w="1660" w:type="dxa"/>
            <w:vAlign w:val="bottom"/>
            <w:tcBorders>
              <w:bottom w:val="single" w:sz="8" w:color="auto"/>
              <w:right w:val="single" w:sz="8" w:color="auto"/>
            </w:tcBorders>
          </w:tcPr>
          <w:p>
            <w:pPr>
              <w:spacing w:after="0" w:line="223" w:lineRule="exact"/>
              <w:rPr>
                <w:sz w:val="20"/>
                <w:szCs w:val="20"/>
                <w:color w:val="auto"/>
              </w:rPr>
            </w:pPr>
            <w:r>
              <w:rPr>
                <w:rFonts w:ascii="Times New Roman" w:cs="Times New Roman" w:eastAsia="Times New Roman" w:hAnsi="Times New Roman"/>
                <w:sz w:val="20"/>
                <w:szCs w:val="20"/>
                <w:color w:val="auto"/>
              </w:rPr>
              <w:t>1.69</w:t>
            </w:r>
          </w:p>
        </w:tc>
      </w:tr>
      <w:tr>
        <w:trPr>
          <w:trHeight w:val="223"/>
        </w:trPr>
        <w:tc>
          <w:tcPr>
            <w:tcW w:w="1580" w:type="dxa"/>
            <w:vAlign w:val="bottom"/>
            <w:tcBorders>
              <w:left w:val="single" w:sz="8" w:color="auto"/>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04/14/2025</w:t>
            </w:r>
          </w:p>
        </w:tc>
        <w:tc>
          <w:tcPr>
            <w:tcW w:w="2220" w:type="dxa"/>
            <w:vAlign w:val="bottom"/>
            <w:tcBorders>
              <w:bottom w:val="single" w:sz="8" w:color="auto"/>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(100,000)</w:t>
            </w:r>
          </w:p>
        </w:tc>
        <w:tc>
          <w:tcPr>
            <w:tcW w:w="1660" w:type="dxa"/>
            <w:vAlign w:val="bottom"/>
            <w:tcBorders>
              <w:bottom w:val="single" w:sz="8" w:color="auto"/>
              <w:right w:val="single" w:sz="8" w:color="auto"/>
            </w:tcBorders>
          </w:tcPr>
          <w:p>
            <w:pPr>
              <w:spacing w:after="0" w:line="223" w:lineRule="exact"/>
              <w:rPr>
                <w:sz w:val="20"/>
                <w:szCs w:val="20"/>
                <w:color w:val="auto"/>
              </w:rPr>
            </w:pPr>
            <w:r>
              <w:rPr>
                <w:rFonts w:ascii="Times New Roman" w:cs="Times New Roman" w:eastAsia="Times New Roman" w:hAnsi="Times New Roman"/>
                <w:sz w:val="20"/>
                <w:szCs w:val="20"/>
                <w:color w:val="auto"/>
              </w:rPr>
              <w:t>2.51</w:t>
            </w:r>
          </w:p>
        </w:tc>
      </w:tr>
      <w:tr>
        <w:trPr>
          <w:trHeight w:val="223"/>
        </w:trPr>
        <w:tc>
          <w:tcPr>
            <w:tcW w:w="1580" w:type="dxa"/>
            <w:vAlign w:val="bottom"/>
            <w:tcBorders>
              <w:left w:val="single" w:sz="8" w:color="auto"/>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04/15/2025</w:t>
            </w:r>
          </w:p>
        </w:tc>
        <w:tc>
          <w:tcPr>
            <w:tcW w:w="2220" w:type="dxa"/>
            <w:vAlign w:val="bottom"/>
            <w:tcBorders>
              <w:bottom w:val="single" w:sz="8" w:color="auto"/>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(120,000)</w:t>
            </w:r>
          </w:p>
        </w:tc>
        <w:tc>
          <w:tcPr>
            <w:tcW w:w="1660" w:type="dxa"/>
            <w:vAlign w:val="bottom"/>
            <w:tcBorders>
              <w:bottom w:val="single" w:sz="8" w:color="auto"/>
              <w:right w:val="single" w:sz="8" w:color="auto"/>
            </w:tcBorders>
          </w:tcPr>
          <w:p>
            <w:pPr>
              <w:spacing w:after="0" w:line="223" w:lineRule="exact"/>
              <w:rPr>
                <w:sz w:val="20"/>
                <w:szCs w:val="20"/>
                <w:color w:val="auto"/>
              </w:rPr>
            </w:pPr>
            <w:r>
              <w:rPr>
                <w:rFonts w:ascii="Times New Roman" w:cs="Times New Roman" w:eastAsia="Times New Roman" w:hAnsi="Times New Roman"/>
                <w:sz w:val="20"/>
                <w:szCs w:val="20"/>
                <w:color w:val="auto"/>
              </w:rPr>
              <w:t>3.16</w:t>
            </w:r>
          </w:p>
        </w:tc>
      </w:tr>
      <w:tr>
        <w:trPr>
          <w:trHeight w:val="223"/>
        </w:trPr>
        <w:tc>
          <w:tcPr>
            <w:tcW w:w="1580" w:type="dxa"/>
            <w:vAlign w:val="bottom"/>
            <w:tcBorders>
              <w:left w:val="single" w:sz="8" w:color="auto"/>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04/16/2025</w:t>
            </w:r>
          </w:p>
        </w:tc>
        <w:tc>
          <w:tcPr>
            <w:tcW w:w="2220" w:type="dxa"/>
            <w:vAlign w:val="bottom"/>
            <w:tcBorders>
              <w:bottom w:val="single" w:sz="8" w:color="auto"/>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(7,985)</w:t>
            </w:r>
          </w:p>
        </w:tc>
        <w:tc>
          <w:tcPr>
            <w:tcW w:w="1660" w:type="dxa"/>
            <w:vAlign w:val="bottom"/>
            <w:tcBorders>
              <w:bottom w:val="single" w:sz="8" w:color="auto"/>
              <w:right w:val="single" w:sz="8" w:color="auto"/>
            </w:tcBorders>
          </w:tcPr>
          <w:p>
            <w:pPr>
              <w:spacing w:after="0" w:line="223" w:lineRule="exact"/>
              <w:rPr>
                <w:sz w:val="20"/>
                <w:szCs w:val="20"/>
                <w:color w:val="auto"/>
              </w:rPr>
            </w:pPr>
            <w:r>
              <w:rPr>
                <w:rFonts w:ascii="Times New Roman" w:cs="Times New Roman" w:eastAsia="Times New Roman" w:hAnsi="Times New Roman"/>
                <w:sz w:val="20"/>
                <w:szCs w:val="20"/>
                <w:color w:val="auto"/>
              </w:rPr>
              <w:t>2.98</w:t>
            </w:r>
          </w:p>
        </w:tc>
      </w:tr>
      <w:tr>
        <w:trPr>
          <w:trHeight w:val="223"/>
        </w:trPr>
        <w:tc>
          <w:tcPr>
            <w:tcW w:w="1580" w:type="dxa"/>
            <w:vAlign w:val="bottom"/>
            <w:tcBorders>
              <w:left w:val="single" w:sz="8" w:color="auto"/>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04/24/2025</w:t>
            </w:r>
          </w:p>
        </w:tc>
        <w:tc>
          <w:tcPr>
            <w:tcW w:w="2220" w:type="dxa"/>
            <w:vAlign w:val="bottom"/>
            <w:tcBorders>
              <w:bottom w:val="single" w:sz="8" w:color="auto"/>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(280,000)</w:t>
            </w:r>
          </w:p>
        </w:tc>
        <w:tc>
          <w:tcPr>
            <w:tcW w:w="1660" w:type="dxa"/>
            <w:vAlign w:val="bottom"/>
            <w:tcBorders>
              <w:bottom w:val="single" w:sz="8" w:color="auto"/>
              <w:right w:val="single" w:sz="8" w:color="auto"/>
            </w:tcBorders>
          </w:tcPr>
          <w:p>
            <w:pPr>
              <w:spacing w:after="0" w:line="223" w:lineRule="exact"/>
              <w:rPr>
                <w:sz w:val="20"/>
                <w:szCs w:val="20"/>
                <w:color w:val="auto"/>
              </w:rPr>
            </w:pPr>
            <w:r>
              <w:rPr>
                <w:rFonts w:ascii="Times New Roman" w:cs="Times New Roman" w:eastAsia="Times New Roman" w:hAnsi="Times New Roman"/>
                <w:sz w:val="20"/>
                <w:szCs w:val="20"/>
                <w:color w:val="auto"/>
              </w:rPr>
              <w:t>3.62</w:t>
            </w:r>
          </w:p>
        </w:tc>
      </w:tr>
      <w:tr>
        <w:trPr>
          <w:trHeight w:val="223"/>
        </w:trPr>
        <w:tc>
          <w:tcPr>
            <w:tcW w:w="1580" w:type="dxa"/>
            <w:vAlign w:val="bottom"/>
            <w:tcBorders>
              <w:left w:val="single" w:sz="8" w:color="auto"/>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04/28/2025</w:t>
            </w:r>
          </w:p>
        </w:tc>
        <w:tc>
          <w:tcPr>
            <w:tcW w:w="2220" w:type="dxa"/>
            <w:vAlign w:val="bottom"/>
            <w:tcBorders>
              <w:bottom w:val="single" w:sz="8" w:color="auto"/>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(1,250)</w:t>
            </w:r>
          </w:p>
        </w:tc>
        <w:tc>
          <w:tcPr>
            <w:tcW w:w="1660" w:type="dxa"/>
            <w:vAlign w:val="bottom"/>
            <w:tcBorders>
              <w:bottom w:val="single" w:sz="8" w:color="auto"/>
              <w:right w:val="single" w:sz="8" w:color="auto"/>
            </w:tcBorders>
          </w:tcPr>
          <w:p>
            <w:pPr>
              <w:spacing w:after="0" w:line="223" w:lineRule="exact"/>
              <w:rPr>
                <w:sz w:val="20"/>
                <w:szCs w:val="20"/>
                <w:color w:val="auto"/>
              </w:rPr>
            </w:pPr>
            <w:r>
              <w:rPr>
                <w:rFonts w:ascii="Times New Roman" w:cs="Times New Roman" w:eastAsia="Times New Roman" w:hAnsi="Times New Roman"/>
                <w:sz w:val="20"/>
                <w:szCs w:val="20"/>
                <w:color w:val="auto"/>
              </w:rPr>
              <w:t>3.74</w:t>
            </w:r>
          </w:p>
        </w:tc>
      </w:tr>
      <w:tr>
        <w:trPr>
          <w:trHeight w:val="223"/>
        </w:trPr>
        <w:tc>
          <w:tcPr>
            <w:tcW w:w="1580" w:type="dxa"/>
            <w:vAlign w:val="bottom"/>
            <w:tcBorders>
              <w:left w:val="single" w:sz="8" w:color="auto"/>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05/01/2025</w:t>
            </w:r>
          </w:p>
        </w:tc>
        <w:tc>
          <w:tcPr>
            <w:tcW w:w="2220" w:type="dxa"/>
            <w:vAlign w:val="bottom"/>
            <w:tcBorders>
              <w:bottom w:val="single" w:sz="8" w:color="auto"/>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(50,000)</w:t>
            </w:r>
          </w:p>
        </w:tc>
        <w:tc>
          <w:tcPr>
            <w:tcW w:w="1660" w:type="dxa"/>
            <w:vAlign w:val="bottom"/>
            <w:tcBorders>
              <w:bottom w:val="single" w:sz="8" w:color="auto"/>
              <w:right w:val="single" w:sz="8" w:color="auto"/>
            </w:tcBorders>
          </w:tcPr>
          <w:p>
            <w:pPr>
              <w:spacing w:after="0" w:line="223" w:lineRule="exact"/>
              <w:rPr>
                <w:sz w:val="20"/>
                <w:szCs w:val="20"/>
                <w:color w:val="auto"/>
              </w:rPr>
            </w:pPr>
            <w:r>
              <w:rPr>
                <w:rFonts w:ascii="Times New Roman" w:cs="Times New Roman" w:eastAsia="Times New Roman" w:hAnsi="Times New Roman"/>
                <w:sz w:val="20"/>
                <w:szCs w:val="20"/>
                <w:color w:val="auto"/>
              </w:rPr>
              <w:t>3.38</w:t>
            </w:r>
          </w:p>
        </w:tc>
      </w:tr>
      <w:tr>
        <w:trPr>
          <w:trHeight w:val="223"/>
        </w:trPr>
        <w:tc>
          <w:tcPr>
            <w:tcW w:w="1580" w:type="dxa"/>
            <w:vAlign w:val="bottom"/>
            <w:tcBorders>
              <w:left w:val="single" w:sz="8" w:color="auto"/>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05/09/2025</w:t>
            </w:r>
          </w:p>
        </w:tc>
        <w:tc>
          <w:tcPr>
            <w:tcW w:w="2220" w:type="dxa"/>
            <w:vAlign w:val="bottom"/>
            <w:tcBorders>
              <w:bottom w:val="single" w:sz="8" w:color="auto"/>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(25,000)</w:t>
            </w:r>
          </w:p>
        </w:tc>
        <w:tc>
          <w:tcPr>
            <w:tcW w:w="1660" w:type="dxa"/>
            <w:vAlign w:val="bottom"/>
            <w:tcBorders>
              <w:bottom w:val="single" w:sz="8" w:color="auto"/>
              <w:right w:val="single" w:sz="8" w:color="auto"/>
            </w:tcBorders>
          </w:tcPr>
          <w:p>
            <w:pPr>
              <w:spacing w:after="0" w:line="223" w:lineRule="exact"/>
              <w:rPr>
                <w:sz w:val="20"/>
                <w:szCs w:val="20"/>
                <w:color w:val="auto"/>
              </w:rPr>
            </w:pPr>
            <w:r>
              <w:rPr>
                <w:rFonts w:ascii="Times New Roman" w:cs="Times New Roman" w:eastAsia="Times New Roman" w:hAnsi="Times New Roman"/>
                <w:sz w:val="20"/>
                <w:szCs w:val="20"/>
                <w:color w:val="auto"/>
              </w:rPr>
              <w:t>3.00</w:t>
            </w:r>
          </w:p>
        </w:tc>
      </w:tr>
    </w:tbl>
    <w:p>
      <w:pPr>
        <w:spacing w:after="0" w:line="1" w:lineRule="exact"/>
        <w:rPr>
          <w:sz w:val="20"/>
          <w:szCs w:val="20"/>
          <w:color w:val="auto"/>
        </w:rPr>
      </w:pP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2"/>
      <w:numFmt w:val="bullet"/>
      <w:start w:val="1"/>
    </w:lvl>
  </w:abstractNum>
  <w:abstractNum w:abstractNumId="2">
    <w:nsid w:val="625558EC"/>
    <w:multiLevelType w:val="hybridMultilevel"/>
    <w:lvl w:ilvl="0">
      <w:lvlJc w:val="left"/>
      <w:lvlText w:val="3"/>
      <w:numFmt w:val="bullet"/>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2025-05-13T15:12:57Z</dcterms:created>
  <dcterms:modified xsi:type="dcterms:W3CDTF">2025-05-13T15:12:57Z</dcterms:modified>
</cp:coreProperties>
</file>