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G8598Y109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May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40"/>
        <w:spacing w:after="0" w:line="251" w:lineRule="exact"/>
        <w:tabs>
          <w:tab w:leader="none" w:pos="101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CUSIP No. G8598Y109</w:t>
            </w:r>
          </w:p>
        </w:tc>
        <w:tc>
          <w:tcPr>
            <w:tcW w:w="6300" w:type="dxa"/>
            <w:vAlign w:val="bottom"/>
          </w:tcPr>
          <w:p>
            <w:pPr>
              <w:ind w:left="3620"/>
              <w:spacing w:after="0"/>
              <w:rPr>
                <w:sz w:val="20"/>
                <w:szCs w:val="20"/>
                <w:color w:val="auto"/>
              </w:rPr>
            </w:pPr>
            <w:r>
              <w:rPr>
                <w:rFonts w:ascii="Arial" w:cs="Arial" w:eastAsia="Arial" w:hAnsi="Arial"/>
                <w:sz w:val="18"/>
                <w:szCs w:val="18"/>
                <w:b w:val="1"/>
                <w:bCs w:val="1"/>
                <w:color w:val="auto"/>
              </w:rPr>
              <w:t>13G</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2 of 6 Pages</w:t>
            </w:r>
          </w:p>
        </w:tc>
        <w:tc>
          <w:tcPr>
            <w:tcW w:w="0" w:type="dxa"/>
            <w:vAlign w:val="bottom"/>
          </w:tcPr>
          <w:p>
            <w:pPr>
              <w:spacing w:after="0"/>
              <w:rPr>
                <w:sz w:val="1"/>
                <w:szCs w:val="1"/>
                <w:color w:val="auto"/>
              </w:rPr>
            </w:pPr>
          </w:p>
        </w:tc>
      </w:tr>
      <w:tr>
        <w:trPr>
          <w:trHeight w:val="338"/>
        </w:trPr>
        <w:tc>
          <w:tcPr>
            <w:tcW w:w="18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00" w:type="dxa"/>
            <w:vAlign w:val="bottom"/>
          </w:tcPr>
          <w:p>
            <w:pPr>
              <w:ind w:left="60"/>
              <w:spacing w:after="0"/>
              <w:rPr>
                <w:sz w:val="20"/>
                <w:szCs w:val="20"/>
                <w:color w:val="auto"/>
              </w:rPr>
            </w:pPr>
            <w:r>
              <w:rPr>
                <w:rFonts w:ascii="Arial" w:cs="Arial" w:eastAsia="Arial" w:hAnsi="Arial"/>
                <w:sz w:val="16"/>
                <w:szCs w:val="16"/>
                <w:color w:val="auto"/>
              </w:rPr>
              <w:t>NAMES OF REPORTING PERSONS</w:t>
            </w: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60" w:type="dxa"/>
            <w:vAlign w:val="bottom"/>
            <w:vMerge w:val="continue"/>
          </w:tcPr>
          <w:p>
            <w:pPr>
              <w:spacing w:after="0"/>
              <w:rPr>
                <w:sz w:val="13"/>
                <w:szCs w:val="13"/>
                <w:color w:val="auto"/>
              </w:rPr>
            </w:pPr>
          </w:p>
        </w:tc>
        <w:tc>
          <w:tcPr>
            <w:tcW w:w="6300" w:type="dxa"/>
            <w:vAlign w:val="bottom"/>
            <w:vMerge w:val="restart"/>
          </w:tcPr>
          <w:p>
            <w:pPr>
              <w:ind w:left="60"/>
              <w:spacing w:after="0"/>
              <w:rPr>
                <w:sz w:val="20"/>
                <w:szCs w:val="20"/>
                <w:color w:val="auto"/>
              </w:rPr>
            </w:pPr>
            <w:r>
              <w:rPr>
                <w:rFonts w:ascii="Arial" w:cs="Arial" w:eastAsia="Arial" w:hAnsi="Arial"/>
                <w:sz w:val="20"/>
                <w:szCs w:val="20"/>
                <w:color w:val="auto"/>
              </w:rPr>
              <w:t>Highbridge Capital Management, LLC</w:t>
            </w: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86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6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2</w:t>
            </w:r>
          </w:p>
        </w:tc>
        <w:tc>
          <w:tcPr>
            <w:tcW w:w="6300" w:type="dxa"/>
            <w:vAlign w:val="bottom"/>
            <w:vMerge w:val="restart"/>
          </w:tcPr>
          <w:p>
            <w:pPr>
              <w:ind w:left="6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tcPr>
          <w:p>
            <w:pPr>
              <w:ind w:left="1840"/>
              <w:spacing w:after="0" w:line="195"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3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1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80" w:type="dxa"/>
            <w:vAlign w:val="bottom"/>
          </w:tcPr>
          <w:p>
            <w:pPr>
              <w:ind w:left="184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4483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483100"/>
                    </a:xfrm>
                    <a:prstGeom prst="rect">
                      <a:avLst/>
                    </a:prstGeom>
                    <a:noFill/>
                  </pic:spPr>
                </pic:pic>
              </a:graphicData>
            </a:graphic>
          </wp:anchor>
        </w:drawing>
      </w:r>
    </w:p>
    <w:p>
      <w:pPr>
        <w:ind w:left="1920" w:hanging="1079"/>
        <w:spacing w:after="0" w:line="192"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State of Delaware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00" w:type="dxa"/>
            <w:vAlign w:val="bottom"/>
          </w:tcPr>
          <w:p>
            <w:pPr>
              <w:spacing w:after="0"/>
              <w:rPr>
                <w:sz w:val="21"/>
                <w:szCs w:val="21"/>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1,801,463 Class A Ordinary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1,801,463 Class A Ordinary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1,801,463 Class A Ordinary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6.00%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IA, OO</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G8598Y109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6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80" w:type="dxa"/>
            <w:vAlign w:val="bottom"/>
            <w:gridSpan w:val="10"/>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80" w:type="dxa"/>
            <w:vAlign w:val="bottom"/>
            <w:gridSpan w:val="10"/>
          </w:tcPr>
          <w:p>
            <w:pPr>
              <w:ind w:left="440"/>
              <w:spacing w:after="0"/>
              <w:rPr>
                <w:sz w:val="20"/>
                <w:szCs w:val="20"/>
                <w:color w:val="auto"/>
              </w:rPr>
            </w:pPr>
            <w:r>
              <w:rPr>
                <w:rFonts w:ascii="Arial" w:cs="Arial" w:eastAsia="Arial" w:hAnsi="Arial"/>
                <w:sz w:val="20"/>
                <w:szCs w:val="20"/>
                <w:color w:val="auto"/>
              </w:rPr>
              <w:t>The name of the issuer is Sustainable Opportunities Acquisition Corp. (the "Company").</w:t>
            </w: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6460" w:type="dxa"/>
            <w:vAlign w:val="bottom"/>
            <w:gridSpan w:val="6"/>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780" w:type="dxa"/>
            <w:vAlign w:val="bottom"/>
            <w:tcBorders>
              <w:top w:val="single" w:sz="8" w:color="auto"/>
            </w:tcBorders>
            <w:gridSpan w:val="3"/>
          </w:tcPr>
          <w:p>
            <w:pPr>
              <w:spacing w:after="0"/>
              <w:rPr>
                <w:sz w:val="24"/>
                <w:szCs w:val="24"/>
                <w:color w:val="auto"/>
              </w:rPr>
            </w:pPr>
          </w:p>
        </w:tc>
        <w:tc>
          <w:tcPr>
            <w:tcW w:w="254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9780" w:type="dxa"/>
            <w:vAlign w:val="bottom"/>
            <w:gridSpan w:val="10"/>
          </w:tcPr>
          <w:p>
            <w:pPr>
              <w:ind w:left="440"/>
              <w:spacing w:after="0"/>
              <w:rPr>
                <w:sz w:val="20"/>
                <w:szCs w:val="20"/>
                <w:color w:val="auto"/>
              </w:rPr>
            </w:pPr>
            <w:r>
              <w:rPr>
                <w:rFonts w:ascii="Arial" w:cs="Arial" w:eastAsia="Arial" w:hAnsi="Arial"/>
                <w:sz w:val="20"/>
                <w:szCs w:val="20"/>
                <w:color w:val="auto"/>
                <w:w w:val="95"/>
              </w:rPr>
              <w:t>The Company's principal executive offices are located at 1601 Bryan Street, Suite 4141, Dallas, Texas 75201.</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80" w:type="dxa"/>
            <w:vAlign w:val="bottom"/>
            <w:gridSpan w:val="10"/>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3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80" w:type="dxa"/>
            <w:vAlign w:val="bottom"/>
            <w:gridSpan w:val="10"/>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80" w:type="dxa"/>
            <w:vAlign w:val="bottom"/>
            <w:gridSpan w:val="10"/>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80" w:type="dxa"/>
            <w:vAlign w:val="bottom"/>
            <w:gridSpan w:val="10"/>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(i)</w:t>
            </w:r>
          </w:p>
        </w:tc>
        <w:tc>
          <w:tcPr>
            <w:tcW w:w="28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20"/>
                <w:szCs w:val="20"/>
                <w:color w:val="auto"/>
              </w:rPr>
              <w:t>Highbridge Capital Management, LLC</w:t>
            </w:r>
          </w:p>
        </w:tc>
      </w:tr>
      <w:tr>
        <w:trPr>
          <w:trHeight w:val="233"/>
        </w:trPr>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277 Park Avenue, 23rd Floor</w:t>
            </w:r>
          </w:p>
        </w:tc>
        <w:tc>
          <w:tcPr>
            <w:tcW w:w="5480" w:type="dxa"/>
            <w:vAlign w:val="bottom"/>
            <w:gridSpan w:val="7"/>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60" w:type="dxa"/>
            <w:vAlign w:val="bottom"/>
            <w:gridSpan w:val="8"/>
          </w:tcPr>
          <w:p>
            <w:pPr>
              <w:spacing w:after="0"/>
              <w:rPr>
                <w:sz w:val="20"/>
                <w:szCs w:val="20"/>
                <w:color w:val="auto"/>
              </w:rPr>
            </w:pPr>
            <w:r>
              <w:rPr>
                <w:rFonts w:ascii="Arial" w:cs="Arial" w:eastAsia="Arial" w:hAnsi="Arial"/>
                <w:sz w:val="20"/>
                <w:szCs w:val="20"/>
                <w:color w:val="auto"/>
              </w:rPr>
              <w:t>New York, New York 10172</w:t>
            </w:r>
          </w:p>
        </w:tc>
      </w:tr>
      <w:tr>
        <w:trPr>
          <w:trHeight w:val="250"/>
        </w:trPr>
        <w:tc>
          <w:tcPr>
            <w:tcW w:w="1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60" w:type="dxa"/>
            <w:vAlign w:val="bottom"/>
            <w:gridSpan w:val="8"/>
          </w:tcPr>
          <w:p>
            <w:pPr>
              <w:spacing w:after="0"/>
              <w:rPr>
                <w:sz w:val="20"/>
                <w:szCs w:val="20"/>
                <w:color w:val="auto"/>
              </w:rPr>
            </w:pPr>
            <w:r>
              <w:rPr>
                <w:rFonts w:ascii="Arial" w:cs="Arial" w:eastAsia="Arial" w:hAnsi="Arial"/>
                <w:sz w:val="20"/>
                <w:szCs w:val="20"/>
                <w:color w:val="auto"/>
              </w:rPr>
              <w:t>Citizenship: State of Delaware</w:t>
            </w:r>
          </w:p>
        </w:tc>
      </w:tr>
      <w:tr>
        <w:trPr>
          <w:trHeight w:val="414"/>
        </w:trPr>
        <w:tc>
          <w:tcPr>
            <w:tcW w:w="1260" w:type="dxa"/>
            <w:vAlign w:val="bottom"/>
          </w:tcPr>
          <w:p>
            <w:pPr>
              <w:spacing w:after="0"/>
              <w:rPr>
                <w:sz w:val="24"/>
                <w:szCs w:val="24"/>
                <w:color w:val="auto"/>
              </w:rPr>
            </w:pPr>
          </w:p>
        </w:tc>
        <w:tc>
          <w:tcPr>
            <w:tcW w:w="9780" w:type="dxa"/>
            <w:vAlign w:val="bottom"/>
            <w:gridSpan w:val="10"/>
          </w:tcPr>
          <w:p>
            <w:pPr>
              <w:ind w:left="440"/>
              <w:spacing w:after="0"/>
              <w:rPr>
                <w:sz w:val="20"/>
                <w:szCs w:val="20"/>
                <w:color w:val="auto"/>
              </w:rPr>
            </w:pPr>
            <w:r>
              <w:rPr>
                <w:rFonts w:ascii="Arial" w:cs="Arial" w:eastAsia="Arial" w:hAnsi="Arial"/>
                <w:sz w:val="20"/>
                <w:szCs w:val="20"/>
                <w:color w:val="auto"/>
              </w:rPr>
              <w:t>The foregoing person is hereinafter sometimes referred to as the "Reporting Person."</w:t>
            </w:r>
          </w:p>
        </w:tc>
      </w:tr>
      <w:tr>
        <w:trPr>
          <w:trHeight w:val="484"/>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564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c>
          <w:tcPr>
            <w:tcW w:w="1380" w:type="dxa"/>
            <w:vAlign w:val="bottom"/>
            <w:tcBorders>
              <w:top w:val="single" w:sz="8" w:color="auto"/>
            </w:tcBorders>
            <w:gridSpan w:val="2"/>
          </w:tcPr>
          <w:p>
            <w:pPr>
              <w:spacing w:after="0"/>
              <w:rPr>
                <w:sz w:val="24"/>
                <w:szCs w:val="24"/>
                <w:color w:val="auto"/>
              </w:rPr>
            </w:pPr>
          </w:p>
        </w:tc>
        <w:tc>
          <w:tcPr>
            <w:tcW w:w="2760" w:type="dxa"/>
            <w:vAlign w:val="bottom"/>
            <w:gridSpan w:val="3"/>
          </w:tcPr>
          <w:p>
            <w:pPr>
              <w:spacing w:after="0"/>
              <w:rPr>
                <w:sz w:val="24"/>
                <w:szCs w:val="24"/>
                <w:color w:val="auto"/>
              </w:rPr>
            </w:pPr>
          </w:p>
        </w:tc>
      </w:tr>
      <w:tr>
        <w:trPr>
          <w:trHeight w:val="414"/>
        </w:trPr>
        <w:tc>
          <w:tcPr>
            <w:tcW w:w="1260" w:type="dxa"/>
            <w:vAlign w:val="bottom"/>
          </w:tcPr>
          <w:p>
            <w:pPr>
              <w:spacing w:after="0"/>
              <w:rPr>
                <w:sz w:val="24"/>
                <w:szCs w:val="24"/>
                <w:color w:val="auto"/>
              </w:rPr>
            </w:pPr>
          </w:p>
        </w:tc>
        <w:tc>
          <w:tcPr>
            <w:tcW w:w="9780" w:type="dxa"/>
            <w:vAlign w:val="bottom"/>
            <w:gridSpan w:val="10"/>
          </w:tcPr>
          <w:p>
            <w:pPr>
              <w:ind w:left="440"/>
              <w:spacing w:after="0"/>
              <w:rPr>
                <w:sz w:val="20"/>
                <w:szCs w:val="20"/>
                <w:color w:val="auto"/>
              </w:rPr>
            </w:pPr>
            <w:r>
              <w:rPr>
                <w:rFonts w:ascii="Arial" w:cs="Arial" w:eastAsia="Arial" w:hAnsi="Arial"/>
                <w:sz w:val="20"/>
                <w:szCs w:val="20"/>
                <w:color w:val="auto"/>
              </w:rPr>
              <w:t>Class A Ordinary Shares, par value $0.0001 per share (the "Class A Ordinary Shares").</w:t>
            </w: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5180" w:type="dxa"/>
            <w:vAlign w:val="bottom"/>
            <w:gridSpan w:val="4"/>
          </w:tcPr>
          <w:p>
            <w:pPr>
              <w:ind w:left="440"/>
              <w:spacing w:after="0"/>
              <w:rPr>
                <w:sz w:val="20"/>
                <w:szCs w:val="20"/>
                <w:color w:val="auto"/>
              </w:rPr>
            </w:pPr>
            <w:r>
              <w:rPr>
                <w:rFonts w:ascii="Arial" w:cs="Arial" w:eastAsia="Arial" w:hAnsi="Arial"/>
                <w:sz w:val="20"/>
                <w:szCs w:val="20"/>
                <w:b w:val="1"/>
                <w:bCs w:val="1"/>
                <w:color w:val="auto"/>
              </w:rPr>
              <w:t>CUSIP NUMBER:</w:t>
            </w:r>
          </w:p>
        </w:tc>
        <w:tc>
          <w:tcPr>
            <w:tcW w:w="1960" w:type="dxa"/>
            <w:vAlign w:val="bottom"/>
            <w:tcBorders>
              <w:top w:val="single" w:sz="8" w:color="auto"/>
            </w:tcBorders>
            <w:gridSpan w:val="4"/>
          </w:tcPr>
          <w:p>
            <w:pPr>
              <w:spacing w:after="0"/>
              <w:rPr>
                <w:sz w:val="24"/>
                <w:szCs w:val="24"/>
                <w:color w:val="auto"/>
              </w:rPr>
            </w:pPr>
          </w:p>
        </w:tc>
        <w:tc>
          <w:tcPr>
            <w:tcW w:w="2640" w:type="dxa"/>
            <w:vAlign w:val="bottom"/>
            <w:gridSpan w:val="2"/>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9780" w:type="dxa"/>
            <w:vAlign w:val="bottom"/>
            <w:gridSpan w:val="10"/>
          </w:tcPr>
          <w:p>
            <w:pPr>
              <w:ind w:left="440"/>
              <w:spacing w:after="0"/>
              <w:rPr>
                <w:sz w:val="20"/>
                <w:szCs w:val="20"/>
                <w:color w:val="auto"/>
              </w:rPr>
            </w:pPr>
            <w:r>
              <w:rPr>
                <w:rFonts w:ascii="Arial" w:cs="Arial" w:eastAsia="Arial" w:hAnsi="Arial"/>
                <w:sz w:val="20"/>
                <w:szCs w:val="20"/>
                <w:color w:val="auto"/>
              </w:rPr>
              <w:t>G8598Y109</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80" w:type="dxa"/>
            <w:vAlign w:val="bottom"/>
            <w:gridSpan w:val="10"/>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w:t>
            </w:r>
          </w:p>
        </w:tc>
      </w:tr>
      <w:tr>
        <w:trPr>
          <w:trHeight w:val="256"/>
        </w:trPr>
        <w:tc>
          <w:tcPr>
            <w:tcW w:w="1260" w:type="dxa"/>
            <w:vAlign w:val="bottom"/>
          </w:tcPr>
          <w:p>
            <w:pPr>
              <w:spacing w:after="0"/>
              <w:rPr>
                <w:sz w:val="22"/>
                <w:szCs w:val="22"/>
                <w:color w:val="auto"/>
              </w:rPr>
            </w:pPr>
          </w:p>
        </w:tc>
        <w:tc>
          <w:tcPr>
            <w:tcW w:w="9780" w:type="dxa"/>
            <w:vAlign w:val="bottom"/>
            <w:gridSpan w:val="10"/>
          </w:tcPr>
          <w:p>
            <w:pPr>
              <w:ind w:left="440"/>
              <w:spacing w:after="0"/>
              <w:rPr>
                <w:sz w:val="20"/>
                <w:szCs w:val="20"/>
                <w:color w:val="auto"/>
              </w:rPr>
            </w:pPr>
            <w:r>
              <w:rPr>
                <w:rFonts w:ascii="Arial" w:cs="Arial" w:eastAsia="Arial" w:hAnsi="Arial"/>
                <w:sz w:val="20"/>
                <w:szCs w:val="20"/>
                <w:b w:val="1"/>
                <w:bCs w:val="1"/>
                <w:color w:val="auto"/>
              </w:rPr>
              <w:t>WHETHER THE PERSON FILING IS A:</w:t>
            </w:r>
          </w:p>
        </w:tc>
      </w:tr>
      <w:tr>
        <w:trPr>
          <w:trHeight w:val="495"/>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(a)</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tc>
      </w:tr>
      <w:tr>
        <w:trPr>
          <w:trHeight w:val="459"/>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(b)</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tc>
      </w:tr>
      <w:tr>
        <w:trPr>
          <w:trHeight w:val="459"/>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(c)</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tc>
      </w:tr>
      <w:tr>
        <w:trPr>
          <w:trHeight w:val="459"/>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(d)</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tc>
      </w:tr>
      <w:tr>
        <w:trPr>
          <w:trHeight w:val="459"/>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(e)</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tc>
      </w:tr>
      <w:tr>
        <w:trPr>
          <w:trHeight w:val="459"/>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(f)</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(g)</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tc>
      </w:tr>
      <w:tr>
        <w:trPr>
          <w:trHeight w:val="459"/>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(h)</w:t>
            </w:r>
          </w:p>
        </w:tc>
        <w:tc>
          <w:tcPr>
            <w:tcW w:w="884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tc>
      </w:tr>
    </w:tbl>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G8598Y109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6 Pages</w:t>
      </w:r>
    </w:p>
    <w:p>
      <w:pPr>
        <w:sectPr>
          <w:pgSz w:w="11900" w:h="16838" w:orient="portrait"/>
          <w:cols w:equalWidth="0" w:num="1">
            <w:col w:w="11240"/>
          </w:cols>
          <w:pgMar w:left="320" w:top="229" w:right="339" w:bottom="1440" w:gutter="0" w:footer="0" w:header="0"/>
        </w:sectPr>
      </w:pPr>
    </w:p>
    <w:p>
      <w:pPr>
        <w:spacing w:after="0" w:line="324" w:lineRule="exact"/>
        <w:rPr>
          <w:sz w:val="20"/>
          <w:szCs w:val="20"/>
          <w:color w:val="auto"/>
        </w:rPr>
      </w:pPr>
    </w:p>
    <w:p>
      <w:pPr>
        <w:ind w:left="3040" w:right="260" w:hanging="1241"/>
        <w:spacing w:after="0" w:line="252" w:lineRule="exact"/>
        <w:tabs>
          <w:tab w:leader="none" w:pos="2565"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 ___________________________</w:t>
      </w:r>
    </w:p>
    <w:p>
      <w:pPr>
        <w:spacing w:after="0" w:line="18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3140" w:hanging="797"/>
        <w:spacing w:after="0"/>
        <w:tabs>
          <w:tab w:leader="none" w:pos="31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229" w:lineRule="exact"/>
        <w:rPr>
          <w:sz w:val="20"/>
          <w:szCs w:val="20"/>
          <w:color w:val="auto"/>
        </w:rPr>
      </w:pPr>
    </w:p>
    <w:p>
      <w:pPr>
        <w:jc w:val="both"/>
        <w:ind w:left="1800" w:right="220" w:firstLine="648"/>
        <w:spacing w:after="0" w:line="291" w:lineRule="auto"/>
        <w:rPr>
          <w:sz w:val="20"/>
          <w:szCs w:val="20"/>
          <w:color w:val="auto"/>
        </w:rPr>
      </w:pPr>
      <w:r>
        <w:rPr>
          <w:rFonts w:ascii="Arial" w:cs="Arial" w:eastAsia="Arial" w:hAnsi="Arial"/>
          <w:sz w:val="18"/>
          <w:szCs w:val="18"/>
          <w:color w:val="auto"/>
        </w:rPr>
        <w:t>As of the date hereof, Highbridge Capital Management, LLC, as the trading manager of Highbridge Tactical Credit Master Fund, L.P. and Highbridge SPAC Opportunity Fund, L.P. (collectively, the "</w:t>
      </w:r>
      <w:r>
        <w:rPr>
          <w:rFonts w:ascii="Arial" w:cs="Arial" w:eastAsia="Arial" w:hAnsi="Arial"/>
          <w:sz w:val="18"/>
          <w:szCs w:val="18"/>
          <w:u w:val="single" w:color="auto"/>
          <w:color w:val="auto"/>
        </w:rPr>
        <w:t>Highbridge Funds</w:t>
      </w:r>
      <w:r>
        <w:rPr>
          <w:rFonts w:ascii="Arial" w:cs="Arial" w:eastAsia="Arial" w:hAnsi="Arial"/>
          <w:sz w:val="18"/>
          <w:szCs w:val="18"/>
          <w:color w:val="auto"/>
        </w:rPr>
        <w:t>"), may be deemed to be the beneficial owner of the 1,801,463 Class A Ordinary Shares held by the Highbridge Funds.</w:t>
      </w:r>
    </w:p>
    <w:p>
      <w:pPr>
        <w:spacing w:after="0" w:line="165" w:lineRule="exact"/>
        <w:rPr>
          <w:sz w:val="20"/>
          <w:szCs w:val="20"/>
          <w:color w:val="auto"/>
        </w:rPr>
      </w:pPr>
    </w:p>
    <w:p>
      <w:pPr>
        <w:ind w:left="3260" w:hanging="917"/>
        <w:spacing w:after="0"/>
        <w:tabs>
          <w:tab w:leader="none" w:pos="3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29" w:lineRule="exact"/>
        <w:rPr>
          <w:sz w:val="20"/>
          <w:szCs w:val="20"/>
          <w:color w:val="auto"/>
        </w:rPr>
      </w:pPr>
    </w:p>
    <w:p>
      <w:pPr>
        <w:ind w:left="1800" w:right="160" w:firstLine="648"/>
        <w:spacing w:after="0" w:line="244" w:lineRule="auto"/>
        <w:rPr>
          <w:sz w:val="20"/>
          <w:szCs w:val="20"/>
          <w:color w:val="auto"/>
        </w:rPr>
      </w:pPr>
      <w:r>
        <w:rPr>
          <w:rFonts w:ascii="Arial" w:cs="Arial" w:eastAsia="Arial" w:hAnsi="Arial"/>
          <w:sz w:val="20"/>
          <w:szCs w:val="20"/>
          <w:color w:val="auto"/>
        </w:rPr>
        <w:t>The percentages used herein and in the rest of this Schedule 13G are calculated based upon 30,000,000 Class A Ordinary Shares reported to be outstanding as of April 8, 2021, as reported in the Company's Registration Statement on Form S-4 filed with the Securities and Exchange Commission on April 8, 2021. Therefore, as of the date hereof, Highbridge Capital Management, LLC may be deemed to beneficially own approximately 6.00% of the outstanding Class A Ordinary Shares.</w:t>
      </w:r>
    </w:p>
    <w:p>
      <w:pPr>
        <w:spacing w:after="0" w:line="208" w:lineRule="exact"/>
        <w:rPr>
          <w:sz w:val="20"/>
          <w:szCs w:val="20"/>
          <w:color w:val="auto"/>
        </w:rPr>
      </w:pPr>
    </w:p>
    <w:p>
      <w:pPr>
        <w:ind w:left="1800" w:right="840" w:firstLine="648"/>
        <w:spacing w:after="0" w:line="260" w:lineRule="auto"/>
        <w:rPr>
          <w:sz w:val="20"/>
          <w:szCs w:val="20"/>
          <w:color w:val="auto"/>
        </w:rPr>
      </w:pPr>
      <w:r>
        <w:rPr>
          <w:rFonts w:ascii="Arial" w:cs="Arial" w:eastAsia="Arial" w:hAnsi="Arial"/>
          <w:sz w:val="20"/>
          <w:szCs w:val="20"/>
          <w:color w:val="auto"/>
        </w:rPr>
        <w:t>The foregoing should not be construed in and of itself as an admission by the Reporting Person as to beneficial ownership of the Class A Ordinary Shares held by the Highbridge Funds.</w:t>
      </w:r>
    </w:p>
    <w:p>
      <w:pPr>
        <w:spacing w:after="0" w:line="190" w:lineRule="exact"/>
        <w:rPr>
          <w:sz w:val="20"/>
          <w:szCs w:val="20"/>
          <w:color w:val="auto"/>
        </w:rPr>
      </w:pPr>
    </w:p>
    <w:p>
      <w:pPr>
        <w:ind w:left="3140" w:hanging="797"/>
        <w:spacing w:after="0"/>
        <w:tabs>
          <w:tab w:leader="none" w:pos="31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Number of shares as to which such person has:</w:t>
      </w:r>
    </w:p>
    <w:p>
      <w:pPr>
        <w:spacing w:after="0" w:line="229" w:lineRule="exact"/>
        <w:rPr>
          <w:rFonts w:ascii="Arial" w:cs="Arial" w:eastAsia="Arial" w:hAnsi="Arial"/>
          <w:sz w:val="20"/>
          <w:szCs w:val="20"/>
          <w:color w:val="auto"/>
        </w:rPr>
      </w:pPr>
    </w:p>
    <w:p>
      <w:pPr>
        <w:ind w:left="3780" w:right="4380" w:hanging="789"/>
        <w:spacing w:after="0" w:line="479" w:lineRule="auto"/>
        <w:tabs>
          <w:tab w:leader="none" w:pos="3780" w:val="left"/>
        </w:tabs>
        <w:numPr>
          <w:ilvl w:val="1"/>
          <w:numId w:val="6"/>
        </w:numPr>
        <w:rPr>
          <w:rFonts w:ascii="Arial" w:cs="Arial" w:eastAsia="Arial" w:hAnsi="Arial"/>
          <w:sz w:val="20"/>
          <w:szCs w:val="20"/>
          <w:color w:val="auto"/>
        </w:rPr>
      </w:pPr>
      <w:r>
        <w:rPr>
          <w:rFonts w:ascii="Arial" w:cs="Arial" w:eastAsia="Arial" w:hAnsi="Arial"/>
          <w:sz w:val="20"/>
          <w:szCs w:val="20"/>
          <w:color w:val="auto"/>
        </w:rPr>
        <w:t>Sole power to vote or to direct the vote 0</w:t>
      </w:r>
    </w:p>
    <w:p>
      <w:pPr>
        <w:ind w:left="3780" w:right="4180" w:hanging="789"/>
        <w:spacing w:after="0" w:line="479" w:lineRule="auto"/>
        <w:tabs>
          <w:tab w:leader="none" w:pos="3780" w:val="left"/>
        </w:tabs>
        <w:numPr>
          <w:ilvl w:val="1"/>
          <w:numId w:val="6"/>
        </w:numPr>
        <w:rPr>
          <w:rFonts w:ascii="Arial" w:cs="Arial" w:eastAsia="Arial" w:hAnsi="Arial"/>
          <w:sz w:val="20"/>
          <w:szCs w:val="20"/>
          <w:color w:val="auto"/>
        </w:rPr>
      </w:pPr>
      <w:r>
        <w:rPr>
          <w:rFonts w:ascii="Arial" w:cs="Arial" w:eastAsia="Arial" w:hAnsi="Arial"/>
          <w:sz w:val="20"/>
          <w:szCs w:val="20"/>
          <w:color w:val="auto"/>
        </w:rPr>
        <w:t>Shared power to vote or to direct the vote See Item 4(a)</w:t>
      </w:r>
    </w:p>
    <w:p>
      <w:pPr>
        <w:ind w:left="3780" w:right="3380" w:hanging="789"/>
        <w:spacing w:after="0" w:line="479" w:lineRule="auto"/>
        <w:tabs>
          <w:tab w:leader="none" w:pos="3780" w:val="left"/>
        </w:tabs>
        <w:numPr>
          <w:ilvl w:val="1"/>
          <w:numId w:val="6"/>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0</w:t>
      </w:r>
    </w:p>
    <w:p>
      <w:pPr>
        <w:ind w:left="3780" w:right="3180" w:hanging="789"/>
        <w:spacing w:after="0" w:line="500" w:lineRule="auto"/>
        <w:tabs>
          <w:tab w:leader="none" w:pos="3780" w:val="left"/>
        </w:tabs>
        <w:numPr>
          <w:ilvl w:val="1"/>
          <w:numId w:val="6"/>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See Item 4(a)</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G8598Y109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6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See Item 4.</w:t>
      </w:r>
    </w:p>
    <w:p>
      <w:pPr>
        <w:spacing w:after="0" w:line="223"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The Reporting Person hereby makes the following certification:</w:t>
      </w:r>
    </w:p>
    <w:p>
      <w:pPr>
        <w:spacing w:after="0" w:line="229"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the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G8598Y109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6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May 20, 2021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HIGHBRIDGE CAPITAL MANAGEMENT, LLC</w:t>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Kirk Rule</w:t>
            </w:r>
          </w:p>
        </w:tc>
      </w:tr>
      <w:tr>
        <w:trPr>
          <w:trHeight w:val="213"/>
        </w:trPr>
        <w:tc>
          <w:tcPr>
            <w:tcW w:w="9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060" w:type="dxa"/>
            <w:vAlign w:val="bottom"/>
          </w:tcPr>
          <w:p>
            <w:pPr>
              <w:ind w:left="100"/>
              <w:spacing w:after="0" w:line="212" w:lineRule="exact"/>
              <w:rPr>
                <w:sz w:val="20"/>
                <w:szCs w:val="20"/>
                <w:color w:val="auto"/>
              </w:rPr>
            </w:pPr>
            <w:r>
              <w:rPr>
                <w:rFonts w:ascii="Arial" w:cs="Arial" w:eastAsia="Arial" w:hAnsi="Arial"/>
                <w:sz w:val="20"/>
                <w:szCs w:val="20"/>
                <w:color w:val="auto"/>
              </w:rPr>
              <w:t>Kirk Rule</w:t>
            </w:r>
          </w:p>
        </w:tc>
      </w:t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060" w:type="dxa"/>
            <w:vAlign w:val="bottom"/>
          </w:tcPr>
          <w:p>
            <w:pPr>
              <w:ind w:left="100"/>
              <w:spacing w:after="0"/>
              <w:rPr>
                <w:sz w:val="20"/>
                <w:szCs w:val="20"/>
                <w:color w:val="auto"/>
              </w:rPr>
            </w:pPr>
            <w:r>
              <w:rPr>
                <w:rFonts w:ascii="Arial" w:cs="Arial" w:eastAsia="Arial" w:hAnsi="Arial"/>
                <w:sz w:val="20"/>
                <w:szCs w:val="20"/>
                <w:color w:val="auto"/>
              </w:rPr>
              <w:t>Executive Director</w:t>
            </w: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9"/>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2021-05-20T15:40:50Z</dcterms:created>
  <dcterms:modified xsi:type="dcterms:W3CDTF">2021-05-20T15:40:50Z</dcterms:modified>
</cp:coreProperties>
</file>