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29"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TMC the metals company Inc.</w:t>
      </w:r>
    </w:p>
    <w:p>
      <w:pPr>
        <w:spacing w:after="0" w:line="16"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(formerly known as Sustainable Opportunities Acquisition Corp.)</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-143510</wp:posOffset>
            </wp:positionV>
            <wp:extent cx="6231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1"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454"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5060" w:type="dxa"/>
            <w:vAlign w:val="bottom"/>
            <w:gridSpan w:val="2"/>
          </w:tcPr>
          <w:p>
            <w:pPr>
              <w:spacing w:after="0"/>
              <w:rPr>
                <w:sz w:val="20"/>
                <w:szCs w:val="20"/>
                <w:color w:val="auto"/>
              </w:rPr>
            </w:pPr>
            <w:r>
              <w:rPr>
                <w:rFonts w:ascii="Arial" w:cs="Arial" w:eastAsia="Arial" w:hAnsi="Arial"/>
                <w:sz w:val="22"/>
                <w:szCs w:val="22"/>
                <w:b w:val="1"/>
                <w:bCs w:val="1"/>
                <w:color w:val="auto"/>
              </w:rPr>
              <w:t>CUSIP No. 87261Y106</w:t>
            </w:r>
          </w:p>
        </w:tc>
        <w:tc>
          <w:tcPr>
            <w:tcW w:w="2860" w:type="dxa"/>
            <w:vAlign w:val="bottom"/>
          </w:tcPr>
          <w:p>
            <w:pPr>
              <w:ind w:left="280"/>
              <w:spacing w:after="0"/>
              <w:rPr>
                <w:sz w:val="20"/>
                <w:szCs w:val="20"/>
                <w:color w:val="auto"/>
              </w:rPr>
            </w:pPr>
            <w:r>
              <w:rPr>
                <w:rFonts w:ascii="Arial" w:cs="Arial" w:eastAsia="Arial" w:hAnsi="Arial"/>
                <w:sz w:val="22"/>
                <w:szCs w:val="22"/>
                <w:b w:val="1"/>
                <w:bCs w:val="1"/>
                <w:color w:val="auto"/>
              </w:rPr>
              <w:t>13G/A</w:t>
            </w:r>
          </w:p>
        </w:tc>
        <w:tc>
          <w:tcPr>
            <w:tcW w:w="3320" w:type="dxa"/>
            <w:vAlign w:val="bottom"/>
          </w:tcPr>
          <w:p>
            <w:pPr>
              <w:jc w:val="center"/>
              <w:ind w:left="1632"/>
              <w:spacing w:after="0"/>
              <w:rPr>
                <w:sz w:val="20"/>
                <w:szCs w:val="20"/>
                <w:color w:val="auto"/>
              </w:rPr>
            </w:pPr>
            <w:r>
              <w:rPr>
                <w:rFonts w:ascii="Arial" w:cs="Arial" w:eastAsia="Arial" w:hAnsi="Arial"/>
                <w:sz w:val="22"/>
                <w:szCs w:val="22"/>
                <w:b w:val="1"/>
                <w:bCs w:val="1"/>
                <w:color w:val="auto"/>
                <w:w w:val="84"/>
              </w:rPr>
              <w:t>Page 2 of 6 Pages</w:t>
            </w:r>
          </w:p>
        </w:tc>
        <w:tc>
          <w:tcPr>
            <w:tcW w:w="0" w:type="dxa"/>
            <w:vAlign w:val="bottom"/>
          </w:tcPr>
          <w:p>
            <w:pPr>
              <w:spacing w:after="0"/>
              <w:rPr>
                <w:sz w:val="1"/>
                <w:szCs w:val="1"/>
                <w:color w:val="auto"/>
              </w:rPr>
            </w:pPr>
          </w:p>
        </w:tc>
      </w:tr>
      <w:tr>
        <w:trPr>
          <w:trHeight w:val="328"/>
        </w:trPr>
        <w:tc>
          <w:tcPr>
            <w:tcW w:w="13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300"/>
              <w:spacing w:after="0"/>
              <w:rPr>
                <w:sz w:val="20"/>
                <w:szCs w:val="20"/>
                <w:color w:val="auto"/>
              </w:rPr>
            </w:pPr>
            <w:r>
              <w:rPr>
                <w:rFonts w:ascii="Arial" w:cs="Arial" w:eastAsia="Arial" w:hAnsi="Arial"/>
                <w:sz w:val="29"/>
                <w:szCs w:val="29"/>
                <w:b w:val="1"/>
                <w:bCs w:val="1"/>
                <w:color w:val="auto"/>
              </w:rPr>
              <w:t>1</w:t>
            </w:r>
          </w:p>
        </w:tc>
        <w:tc>
          <w:tcPr>
            <w:tcW w:w="3760" w:type="dxa"/>
            <w:vAlign w:val="bottom"/>
          </w:tcPr>
          <w:p>
            <w:pPr>
              <w:ind w:left="400"/>
              <w:spacing w:after="0"/>
              <w:rPr>
                <w:sz w:val="20"/>
                <w:szCs w:val="20"/>
                <w:color w:val="auto"/>
              </w:rPr>
            </w:pPr>
            <w:r>
              <w:rPr>
                <w:rFonts w:ascii="Arial" w:cs="Arial" w:eastAsia="Arial" w:hAnsi="Arial"/>
                <w:sz w:val="16"/>
                <w:szCs w:val="16"/>
                <w:color w:val="auto"/>
              </w:rPr>
              <w:t>NAMES OF REPORTING PERSONS</w:t>
            </w:r>
          </w:p>
        </w:tc>
        <w:tc>
          <w:tcPr>
            <w:tcW w:w="28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3760" w:type="dxa"/>
            <w:vAlign w:val="bottom"/>
            <w:vMerge w:val="restart"/>
          </w:tcPr>
          <w:p>
            <w:pPr>
              <w:ind w:left="400"/>
              <w:spacing w:after="0"/>
              <w:rPr>
                <w:sz w:val="20"/>
                <w:szCs w:val="20"/>
                <w:color w:val="auto"/>
              </w:rPr>
            </w:pPr>
            <w:r>
              <w:rPr>
                <w:rFonts w:ascii="Arial" w:cs="Arial" w:eastAsia="Arial" w:hAnsi="Arial"/>
                <w:sz w:val="20"/>
                <w:szCs w:val="20"/>
                <w:color w:val="auto"/>
                <w:w w:val="99"/>
              </w:rPr>
              <w:t>Highbridge Capital Management, LLC</w:t>
            </w:r>
          </w:p>
        </w:tc>
        <w:tc>
          <w:tcPr>
            <w:tcW w:w="28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30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vMerge w:val="continue"/>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right"/>
              <w:ind w:right="300"/>
              <w:spacing w:after="0" w:line="195" w:lineRule="exact"/>
              <w:rPr>
                <w:sz w:val="20"/>
                <w:szCs w:val="20"/>
                <w:color w:val="auto"/>
              </w:rPr>
            </w:pPr>
            <w:r>
              <w:rPr>
                <w:rFonts w:ascii="Arial" w:cs="Arial" w:eastAsia="Arial" w:hAnsi="Arial"/>
                <w:sz w:val="22"/>
                <w:szCs w:val="22"/>
                <w:b w:val="1"/>
                <w:bCs w:val="1"/>
                <w:color w:val="auto"/>
              </w:rPr>
              <w:t>2</w:t>
            </w:r>
          </w:p>
        </w:tc>
        <w:tc>
          <w:tcPr>
            <w:tcW w:w="6620" w:type="dxa"/>
            <w:vAlign w:val="bottom"/>
            <w:gridSpan w:val="2"/>
            <w:vMerge w:val="restart"/>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320" w:type="dxa"/>
            <w:vAlign w:val="bottom"/>
          </w:tcPr>
          <w:p>
            <w:pPr>
              <w:jc w:val="center"/>
              <w:ind w:left="1672"/>
              <w:spacing w:after="0" w:line="195" w:lineRule="exact"/>
              <w:rPr>
                <w:sz w:val="20"/>
                <w:szCs w:val="20"/>
                <w:color w:val="auto"/>
              </w:rPr>
            </w:pPr>
            <w:r>
              <w:rPr>
                <w:rFonts w:ascii="Arial" w:cs="Arial" w:eastAsia="Arial" w:hAnsi="Arial"/>
                <w:sz w:val="22"/>
                <w:szCs w:val="22"/>
                <w:color w:val="auto"/>
                <w:w w:val="90"/>
              </w:rPr>
              <w:t xml:space="preserve">(a) </w:t>
            </w: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6620" w:type="dxa"/>
            <w:vAlign w:val="bottom"/>
            <w:gridSpan w:val="2"/>
            <w:vMerge w:val="continue"/>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20" w:type="dxa"/>
            <w:vAlign w:val="bottom"/>
          </w:tcPr>
          <w:p>
            <w:pPr>
              <w:jc w:val="center"/>
              <w:ind w:left="1672"/>
              <w:spacing w:after="0" w:line="253" w:lineRule="exact"/>
              <w:rPr>
                <w:sz w:val="20"/>
                <w:szCs w:val="20"/>
                <w:color w:val="auto"/>
              </w:rPr>
            </w:pPr>
            <w:r>
              <w:rPr>
                <w:rFonts w:ascii="Arial" w:cs="Arial" w:eastAsia="Arial" w:hAnsi="Arial"/>
                <w:sz w:val="22"/>
                <w:szCs w:val="22"/>
                <w:color w:val="auto"/>
                <w:w w:val="90"/>
              </w:rPr>
              <w:t xml:space="preserve">(b) </w:t>
            </w: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477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ind w:left="1700" w:hanging="967"/>
        <w:spacing w:after="0" w:line="192" w:lineRule="auto"/>
        <w:tabs>
          <w:tab w:leader="none" w:pos="170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864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640" w:type="dxa"/>
            <w:vAlign w:val="bottom"/>
            <w:gridSpan w:val="2"/>
            <w:vMerge w:val="restart"/>
          </w:tcPr>
          <w:p>
            <w:pPr>
              <w:ind w:left="460"/>
              <w:spacing w:after="0"/>
              <w:rPr>
                <w:sz w:val="20"/>
                <w:szCs w:val="20"/>
                <w:color w:val="auto"/>
              </w:rPr>
            </w:pPr>
            <w:r>
              <w:rPr>
                <w:rFonts w:ascii="Arial" w:cs="Arial" w:eastAsia="Arial" w:hAnsi="Arial"/>
                <w:sz w:val="20"/>
                <w:szCs w:val="20"/>
                <w:color w:val="auto"/>
              </w:rPr>
              <w:t>State of Delaware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6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5</w:t>
            </w:r>
          </w:p>
        </w:tc>
        <w:tc>
          <w:tcPr>
            <w:tcW w:w="73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tcPr>
          <w:p>
            <w:pPr>
              <w:spacing w:after="0"/>
              <w:rPr>
                <w:sz w:val="13"/>
                <w:szCs w:val="13"/>
                <w:color w:val="auto"/>
              </w:rPr>
            </w:pPr>
          </w:p>
        </w:tc>
        <w:tc>
          <w:tcPr>
            <w:tcW w:w="1260" w:type="dxa"/>
            <w:vAlign w:val="bottom"/>
            <w:tcBorders>
              <w:right w:val="single" w:sz="8" w:color="auto"/>
            </w:tcBorders>
            <w:vMerge w:val="continue"/>
          </w:tcPr>
          <w:p>
            <w:pPr>
              <w:spacing w:after="0"/>
              <w:rPr>
                <w:sz w:val="13"/>
                <w:szCs w:val="13"/>
                <w:color w:val="auto"/>
              </w:rPr>
            </w:pPr>
          </w:p>
        </w:tc>
        <w:tc>
          <w:tcPr>
            <w:tcW w:w="73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3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6</w:t>
            </w:r>
          </w:p>
        </w:tc>
        <w:tc>
          <w:tcPr>
            <w:tcW w:w="738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20"/>
                <w:szCs w:val="20"/>
                <w:color w:val="auto"/>
                <w:w w:val="97"/>
              </w:rPr>
              <w:t>4,459,350 Common Shares (including 4,053,183 Common Shares issuable upon exercise of</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tcPr>
          <w:p>
            <w:pPr>
              <w:spacing w:after="0"/>
              <w:rPr>
                <w:sz w:val="11"/>
                <w:szCs w:val="11"/>
                <w:color w:val="auto"/>
              </w:rPr>
            </w:pPr>
          </w:p>
        </w:tc>
        <w:tc>
          <w:tcPr>
            <w:tcW w:w="8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7380" w:type="dxa"/>
            <w:vAlign w:val="bottom"/>
            <w:vMerge w:val="restart"/>
          </w:tcPr>
          <w:p>
            <w:pPr>
              <w:ind w:left="440"/>
              <w:spacing w:after="0"/>
              <w:rPr>
                <w:sz w:val="20"/>
                <w:szCs w:val="20"/>
                <w:color w:val="auto"/>
              </w:rPr>
            </w:pPr>
            <w:r>
              <w:rPr>
                <w:rFonts w:ascii="Arial" w:cs="Arial" w:eastAsia="Arial" w:hAnsi="Arial"/>
                <w:sz w:val="20"/>
                <w:szCs w:val="20"/>
                <w:color w:val="auto"/>
              </w:rPr>
              <w:t>warrants)</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73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7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line="308" w:lineRule="exact"/>
              <w:rPr>
                <w:sz w:val="20"/>
                <w:szCs w:val="20"/>
                <w:color w:val="auto"/>
              </w:rPr>
            </w:pPr>
            <w:r>
              <w:rPr>
                <w:rFonts w:ascii="Arial" w:cs="Arial" w:eastAsia="Arial" w:hAnsi="Arial"/>
                <w:sz w:val="29"/>
                <w:szCs w:val="29"/>
                <w:b w:val="1"/>
                <w:bCs w:val="1"/>
                <w:color w:val="auto"/>
              </w:rPr>
              <w:t>7</w:t>
            </w:r>
          </w:p>
        </w:tc>
        <w:tc>
          <w:tcPr>
            <w:tcW w:w="73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73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73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73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73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8</w:t>
            </w:r>
          </w:p>
        </w:tc>
        <w:tc>
          <w:tcPr>
            <w:tcW w:w="73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73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20"/>
                <w:szCs w:val="20"/>
                <w:color w:val="auto"/>
                <w:w w:val="97"/>
              </w:rPr>
              <w:t>4,459,350 Common Shares (including 4,053,183 Common Shares issuable upon exercise of</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7380" w:type="dxa"/>
            <w:vAlign w:val="bottom"/>
          </w:tcPr>
          <w:p>
            <w:pPr>
              <w:ind w:left="440"/>
              <w:spacing w:after="0"/>
              <w:rPr>
                <w:sz w:val="20"/>
                <w:szCs w:val="20"/>
                <w:color w:val="auto"/>
              </w:rPr>
            </w:pPr>
            <w:r>
              <w:rPr>
                <w:rFonts w:ascii="Arial" w:cs="Arial" w:eastAsia="Arial" w:hAnsi="Arial"/>
                <w:sz w:val="20"/>
                <w:szCs w:val="20"/>
                <w:color w:val="auto"/>
              </w:rPr>
              <w:t>warrants)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864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8640" w:type="dxa"/>
            <w:vAlign w:val="bottom"/>
            <w:gridSpan w:val="2"/>
            <w:vMerge w:val="restart"/>
          </w:tcPr>
          <w:p>
            <w:pPr>
              <w:ind w:left="460"/>
              <w:spacing w:after="0"/>
              <w:rPr>
                <w:sz w:val="20"/>
                <w:szCs w:val="20"/>
                <w:color w:val="auto"/>
              </w:rPr>
            </w:pPr>
            <w:r>
              <w:rPr>
                <w:rFonts w:ascii="Arial" w:cs="Arial" w:eastAsia="Arial" w:hAnsi="Arial"/>
                <w:sz w:val="20"/>
                <w:szCs w:val="20"/>
                <w:color w:val="auto"/>
                <w:w w:val="90"/>
              </w:rPr>
              <w:t>4,459,350 Common Shares (including 4,053,183 Common Shares issuable upon exercise of warrants)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86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864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020" w:type="dxa"/>
            <w:vAlign w:val="bottom"/>
          </w:tcPr>
          <w:p>
            <w:pPr>
              <w:ind w:left="1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864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7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864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1.94%</w:t>
            </w:r>
          </w:p>
        </w:tc>
        <w:tc>
          <w:tcPr>
            <w:tcW w:w="7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864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IA, OO</w:t>
            </w:r>
          </w:p>
        </w:tc>
        <w:tc>
          <w:tcPr>
            <w:tcW w:w="7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7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3" w:right="339" w:bottom="1440" w:gutter="0" w:footer="0" w:header="0"/>
        </w:sectPr>
      </w:pPr>
    </w:p>
    <w:bookmarkStart w:id="2" w:name="page3"/>
    <w:bookmarkEnd w:id="2"/>
    <w:p>
      <w:pPr>
        <w:spacing w:after="0"/>
        <w:tabs>
          <w:tab w:leader="none" w:pos="5320" w:val="left"/>
          <w:tab w:leader="none" w:pos="9640" w:val="left"/>
        </w:tabs>
        <w:rPr>
          <w:sz w:val="20"/>
          <w:szCs w:val="20"/>
          <w:color w:val="auto"/>
        </w:rPr>
      </w:pPr>
      <w:r>
        <w:rPr>
          <w:rFonts w:ascii="Arial" w:cs="Arial" w:eastAsia="Arial" w:hAnsi="Arial"/>
          <w:sz w:val="22"/>
          <w:szCs w:val="22"/>
          <w:b w:val="1"/>
          <w:bCs w:val="1"/>
          <w:color w:val="auto"/>
        </w:rPr>
        <w:t>CUSIP No. 87261Y106</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3 of 6 Pages</w:t>
      </w:r>
    </w:p>
    <w:p>
      <w:pPr>
        <w:sectPr>
          <w:pgSz w:w="11900" w:h="16838" w:orient="portrait"/>
          <w:cols w:equalWidth="0" w:num="1">
            <w:col w:w="11240"/>
          </w:cols>
          <w:pgMar w:left="320" w:top="463" w:right="339" w:bottom="1440" w:gutter="0" w:footer="0" w:header="0"/>
        </w:sectPr>
      </w:pP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438"/>
        </w:trPr>
        <w:tc>
          <w:tcPr>
            <w:tcW w:w="1260" w:type="dxa"/>
            <w:vAlign w:val="bottom"/>
          </w:tcPr>
          <w:p>
            <w:pPr>
              <w:spacing w:after="0"/>
              <w:rPr>
                <w:sz w:val="24"/>
                <w:szCs w:val="24"/>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w w:val="92"/>
              </w:rPr>
              <w:t>The name of the issuer is TMC the metals company Inc. (formerly known as Sustainable Opportunities Acquisition</w:t>
            </w:r>
          </w:p>
        </w:tc>
      </w:tr>
      <w:tr>
        <w:trPr>
          <w:trHeight w:val="206"/>
        </w:trPr>
        <w:tc>
          <w:tcPr>
            <w:tcW w:w="1260" w:type="dxa"/>
            <w:vAlign w:val="bottom"/>
          </w:tcPr>
          <w:p>
            <w:pPr>
              <w:spacing w:after="0"/>
              <w:rPr>
                <w:sz w:val="17"/>
                <w:szCs w:val="17"/>
                <w:color w:val="auto"/>
              </w:rPr>
            </w:pPr>
          </w:p>
        </w:tc>
        <w:tc>
          <w:tcPr>
            <w:tcW w:w="9740" w:type="dxa"/>
            <w:vAlign w:val="bottom"/>
            <w:gridSpan w:val="10"/>
          </w:tcPr>
          <w:p>
            <w:pPr>
              <w:ind w:left="420"/>
              <w:spacing w:after="0" w:line="206" w:lineRule="exact"/>
              <w:rPr>
                <w:sz w:val="20"/>
                <w:szCs w:val="20"/>
                <w:color w:val="auto"/>
              </w:rPr>
            </w:pPr>
            <w:r>
              <w:rPr>
                <w:rFonts w:ascii="Arial" w:cs="Arial" w:eastAsia="Arial" w:hAnsi="Arial"/>
                <w:sz w:val="20"/>
                <w:szCs w:val="20"/>
                <w:color w:val="auto"/>
              </w:rPr>
              <w:t>Corp.) (the "Company").</w:t>
            </w:r>
          </w:p>
        </w:tc>
      </w:tr>
      <w:tr>
        <w:trPr>
          <w:trHeight w:val="20"/>
        </w:trPr>
        <w:tc>
          <w:tcPr>
            <w:tcW w:w="1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38"/>
        </w:trPr>
        <w:tc>
          <w:tcPr>
            <w:tcW w:w="1260" w:type="dxa"/>
            <w:vAlign w:val="bottom"/>
          </w:tcPr>
          <w:p>
            <w:pPr>
              <w:spacing w:after="0"/>
              <w:rPr>
                <w:sz w:val="24"/>
                <w:szCs w:val="24"/>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w w:val="91"/>
              </w:rPr>
              <w:t>The Company's principal executive offices are located at 595 Howe Street, 10th Floor, Vancouver, British Columbia</w:t>
            </w:r>
          </w:p>
        </w:tc>
      </w:tr>
      <w:tr>
        <w:trPr>
          <w:trHeight w:val="250"/>
        </w:trPr>
        <w:tc>
          <w:tcPr>
            <w:tcW w:w="1260" w:type="dxa"/>
            <w:vAlign w:val="bottom"/>
          </w:tcPr>
          <w:p>
            <w:pPr>
              <w:spacing w:after="0"/>
              <w:rPr>
                <w:sz w:val="21"/>
                <w:szCs w:val="21"/>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rPr>
              <w:t>V6C 2T5.</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22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(i)</w:t>
            </w:r>
          </w:p>
        </w:tc>
        <w:tc>
          <w:tcPr>
            <w:tcW w:w="300" w:type="dxa"/>
            <w:vAlign w:val="bottom"/>
          </w:tcPr>
          <w:p>
            <w:pPr>
              <w:spacing w:after="0"/>
              <w:rPr>
                <w:sz w:val="24"/>
                <w:szCs w:val="24"/>
                <w:color w:val="auto"/>
              </w:rPr>
            </w:pPr>
          </w:p>
        </w:tc>
        <w:tc>
          <w:tcPr>
            <w:tcW w:w="30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1"/>
              </w:rPr>
              <w:t>Highbridge Capital Management, LLC</w:t>
            </w:r>
          </w:p>
        </w:tc>
        <w:tc>
          <w:tcPr>
            <w:tcW w:w="5440" w:type="dxa"/>
            <w:vAlign w:val="bottom"/>
            <w:gridSpan w:val="4"/>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gridSpan w:val="8"/>
          </w:tcPr>
          <w:p>
            <w:pPr>
              <w:spacing w:after="0"/>
              <w:rPr>
                <w:sz w:val="20"/>
                <w:szCs w:val="20"/>
                <w:color w:val="auto"/>
              </w:rPr>
            </w:pPr>
            <w:r>
              <w:rPr>
                <w:rFonts w:ascii="Arial" w:cs="Arial" w:eastAsia="Arial" w:hAnsi="Arial"/>
                <w:sz w:val="20"/>
                <w:szCs w:val="20"/>
                <w:color w:val="auto"/>
              </w:rPr>
              <w:t>277 Park Avenue, 23rd Floor</w:t>
            </w:r>
          </w:p>
        </w:tc>
      </w:tr>
      <w:tr>
        <w:trPr>
          <w:trHeight w:val="229"/>
        </w:trPr>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gridSpan w:val="8"/>
          </w:tcPr>
          <w:p>
            <w:pPr>
              <w:spacing w:after="0"/>
              <w:rPr>
                <w:sz w:val="20"/>
                <w:szCs w:val="20"/>
                <w:color w:val="auto"/>
              </w:rPr>
            </w:pPr>
            <w:r>
              <w:rPr>
                <w:rFonts w:ascii="Arial" w:cs="Arial" w:eastAsia="Arial" w:hAnsi="Arial"/>
                <w:sz w:val="20"/>
                <w:szCs w:val="20"/>
                <w:color w:val="auto"/>
              </w:rPr>
              <w:t>New York, New York 10172</w:t>
            </w:r>
          </w:p>
        </w:tc>
      </w:tr>
      <w:tr>
        <w:trPr>
          <w:trHeight w:val="250"/>
        </w:trPr>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520" w:type="dxa"/>
            <w:vAlign w:val="bottom"/>
            <w:gridSpan w:val="8"/>
          </w:tcPr>
          <w:p>
            <w:pPr>
              <w:spacing w:after="0"/>
              <w:rPr>
                <w:sz w:val="20"/>
                <w:szCs w:val="20"/>
                <w:color w:val="auto"/>
              </w:rPr>
            </w:pPr>
            <w:r>
              <w:rPr>
                <w:rFonts w:ascii="Arial" w:cs="Arial" w:eastAsia="Arial" w:hAnsi="Arial"/>
                <w:sz w:val="20"/>
                <w:szCs w:val="20"/>
                <w:color w:val="auto"/>
              </w:rPr>
              <w:t>Citizenship: State of Delaware</w:t>
            </w:r>
          </w:p>
        </w:tc>
      </w:tr>
      <w:tr>
        <w:trPr>
          <w:trHeight w:val="414"/>
        </w:trPr>
        <w:tc>
          <w:tcPr>
            <w:tcW w:w="1260" w:type="dxa"/>
            <w:vAlign w:val="bottom"/>
          </w:tcPr>
          <w:p>
            <w:pPr>
              <w:spacing w:after="0"/>
              <w:rPr>
                <w:sz w:val="24"/>
                <w:szCs w:val="24"/>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rPr>
              <w:t>The foregoing person is hereinafter sometimes referred to as the "Reporting Person."</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5620" w:type="dxa"/>
            <w:vAlign w:val="bottom"/>
            <w:gridSpan w:val="8"/>
          </w:tcPr>
          <w:p>
            <w:pPr>
              <w:ind w:left="420"/>
              <w:spacing w:after="0"/>
              <w:rPr>
                <w:sz w:val="20"/>
                <w:szCs w:val="20"/>
                <w:color w:val="auto"/>
              </w:rPr>
            </w:pPr>
            <w:r>
              <w:rPr>
                <w:rFonts w:ascii="Arial" w:cs="Arial" w:eastAsia="Arial" w:hAnsi="Arial"/>
                <w:sz w:val="20"/>
                <w:szCs w:val="20"/>
                <w:b w:val="1"/>
                <w:bCs w:val="1"/>
                <w:color w:val="auto"/>
              </w:rPr>
              <w:t>TITLE OF CLASS OF SECURITIES:</w:t>
            </w:r>
          </w:p>
        </w:tc>
        <w:tc>
          <w:tcPr>
            <w:tcW w:w="138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r>
      <w:tr>
        <w:trPr>
          <w:trHeight w:val="415"/>
        </w:trPr>
        <w:tc>
          <w:tcPr>
            <w:tcW w:w="1260" w:type="dxa"/>
            <w:vAlign w:val="bottom"/>
          </w:tcPr>
          <w:p>
            <w:pPr>
              <w:spacing w:after="0"/>
              <w:rPr>
                <w:sz w:val="24"/>
                <w:szCs w:val="24"/>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rPr>
              <w:t>Common Shares, without par value (the "Common Shares").</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700" w:type="dxa"/>
            <w:vAlign w:val="bottom"/>
            <w:gridSpan w:val="5"/>
          </w:tcPr>
          <w:p>
            <w:pPr>
              <w:ind w:left="420"/>
              <w:spacing w:after="0"/>
              <w:rPr>
                <w:sz w:val="20"/>
                <w:szCs w:val="20"/>
                <w:color w:val="auto"/>
              </w:rPr>
            </w:pPr>
            <w:r>
              <w:rPr>
                <w:rFonts w:ascii="Arial" w:cs="Arial" w:eastAsia="Arial" w:hAnsi="Arial"/>
                <w:sz w:val="20"/>
                <w:szCs w:val="20"/>
                <w:b w:val="1"/>
                <w:bCs w:val="1"/>
                <w:color w:val="auto"/>
              </w:rPr>
              <w:t>CUSIP NUMBER:</w:t>
            </w:r>
          </w:p>
        </w:tc>
        <w:tc>
          <w:tcPr>
            <w:tcW w:w="1320" w:type="dxa"/>
            <w:vAlign w:val="bottom"/>
            <w:tcBorders>
              <w:top w:val="single" w:sz="8" w:color="auto"/>
            </w:tcBorders>
            <w:gridSpan w:val="2"/>
          </w:tcPr>
          <w:p>
            <w:pPr>
              <w:spacing w:after="0"/>
              <w:rPr>
                <w:sz w:val="24"/>
                <w:szCs w:val="24"/>
                <w:color w:val="auto"/>
              </w:rPr>
            </w:pPr>
          </w:p>
        </w:tc>
        <w:tc>
          <w:tcPr>
            <w:tcW w:w="4720" w:type="dxa"/>
            <w:vAlign w:val="bottom"/>
            <w:gridSpan w:val="3"/>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color w:val="auto"/>
              </w:rPr>
              <w:t>87261Y106</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IF THIS STATEMENT IS FILED PURSUANT TO RULES 13d-1(b) OR 13d-2(b) OR (c), CHECK</w:t>
            </w:r>
          </w:p>
        </w:tc>
      </w:tr>
      <w:tr>
        <w:trPr>
          <w:trHeight w:val="256"/>
        </w:trPr>
        <w:tc>
          <w:tcPr>
            <w:tcW w:w="1260" w:type="dxa"/>
            <w:vAlign w:val="bottom"/>
          </w:tcPr>
          <w:p>
            <w:pPr>
              <w:spacing w:after="0"/>
              <w:rPr>
                <w:sz w:val="22"/>
                <w:szCs w:val="22"/>
                <w:color w:val="auto"/>
              </w:rPr>
            </w:pPr>
          </w:p>
        </w:tc>
        <w:tc>
          <w:tcPr>
            <w:tcW w:w="9740" w:type="dxa"/>
            <w:vAlign w:val="bottom"/>
            <w:gridSpan w:val="10"/>
          </w:tcPr>
          <w:p>
            <w:pPr>
              <w:ind w:left="420"/>
              <w:spacing w:after="0"/>
              <w:rPr>
                <w:sz w:val="20"/>
                <w:szCs w:val="20"/>
                <w:color w:val="auto"/>
              </w:rPr>
            </w:pPr>
            <w:r>
              <w:rPr>
                <w:rFonts w:ascii="Arial" w:cs="Arial" w:eastAsia="Arial" w:hAnsi="Arial"/>
                <w:sz w:val="20"/>
                <w:szCs w:val="20"/>
                <w:b w:val="1"/>
                <w:bCs w:val="1"/>
                <w:color w:val="auto"/>
              </w:rPr>
              <w:t>WHETHER THE PERSON FILING IS A:</w:t>
            </w:r>
          </w:p>
        </w:tc>
      </w:tr>
      <w:tr>
        <w:trPr>
          <w:trHeight w:val="49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(a)</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(b)</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(c)</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(d)</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(e)</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(f)</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20"/>
                <w:szCs w:val="20"/>
                <w:color w:val="auto"/>
              </w:rPr>
              <w:t>(g)</w:t>
            </w:r>
          </w:p>
        </w:tc>
        <w:tc>
          <w:tcPr>
            <w:tcW w:w="8820" w:type="dxa"/>
            <w:vAlign w:val="bottom"/>
            <w:gridSpan w:val="9"/>
          </w:tcPr>
          <w:p>
            <w:pPr>
              <w:ind w:left="2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tc>
      </w:tr>
    </w:tbl>
    <w:p>
      <w:pPr>
        <w:sectPr>
          <w:pgSz w:w="11900" w:h="16838" w:orient="portrait"/>
          <w:cols w:equalWidth="0" w:num="1">
            <w:col w:w="11240"/>
          </w:cols>
          <w:pgMar w:left="320" w:top="463" w:right="339" w:bottom="1440" w:gutter="0" w:footer="0" w:header="0"/>
          <w:type w:val="continuous"/>
        </w:sectPr>
      </w:pPr>
    </w:p>
    <w:bookmarkStart w:id="3" w:name="page4"/>
    <w:bookmarkEnd w:id="3"/>
    <w:p>
      <w:pPr>
        <w:spacing w:after="0"/>
        <w:tabs>
          <w:tab w:leader="none" w:pos="5320" w:val="left"/>
          <w:tab w:leader="none" w:pos="9640" w:val="left"/>
        </w:tabs>
        <w:rPr>
          <w:sz w:val="20"/>
          <w:szCs w:val="20"/>
          <w:color w:val="auto"/>
        </w:rPr>
      </w:pPr>
      <w:r>
        <w:rPr>
          <w:rFonts w:ascii="Arial" w:cs="Arial" w:eastAsia="Arial" w:hAnsi="Arial"/>
          <w:sz w:val="22"/>
          <w:szCs w:val="22"/>
          <w:b w:val="1"/>
          <w:bCs w:val="1"/>
          <w:color w:val="auto"/>
        </w:rPr>
        <w:t>CUSIP No. 87261Y106</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4 of 6 Pages</w:t>
      </w:r>
    </w:p>
    <w:p>
      <w:pPr>
        <w:sectPr>
          <w:pgSz w:w="11900" w:h="16838" w:orient="portrait"/>
          <w:cols w:equalWidth="0" w:num="1">
            <w:col w:w="11240"/>
          </w:cols>
          <w:pgMar w:left="320" w:top="463" w:right="339" w:bottom="1440" w:gutter="0" w:footer="0" w:header="0"/>
        </w:sectPr>
      </w:pPr>
    </w:p>
    <w:p>
      <w:pPr>
        <w:spacing w:after="0" w:line="314" w:lineRule="exact"/>
        <w:rPr>
          <w:sz w:val="20"/>
          <w:szCs w:val="20"/>
          <w:color w:val="auto"/>
        </w:rPr>
      </w:pPr>
    </w:p>
    <w:p>
      <w:pPr>
        <w:ind w:left="2560" w:hanging="761"/>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29" w:lineRule="exact"/>
        <w:rPr>
          <w:rFonts w:ascii="Arial" w:cs="Arial" w:eastAsia="Arial" w:hAnsi="Arial"/>
          <w:sz w:val="20"/>
          <w:szCs w:val="20"/>
          <w:color w:val="auto"/>
        </w:rPr>
      </w:pPr>
    </w:p>
    <w:p>
      <w:pPr>
        <w:ind w:left="3040" w:right="260" w:hanging="1241"/>
        <w:spacing w:after="0" w:line="252" w:lineRule="exact"/>
        <w:tabs>
          <w:tab w:leader="none" w:pos="2565"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institution:_______________________________________</w:t>
      </w:r>
    </w:p>
    <w:p>
      <w:pPr>
        <w:spacing w:after="0" w:line="13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(a) Amount beneficially owned:</w:t>
      </w:r>
    </w:p>
    <w:p>
      <w:pPr>
        <w:spacing w:after="0" w:line="229" w:lineRule="exact"/>
        <w:rPr>
          <w:sz w:val="20"/>
          <w:szCs w:val="20"/>
          <w:color w:val="auto"/>
        </w:rPr>
      </w:pPr>
    </w:p>
    <w:p>
      <w:pPr>
        <w:ind w:left="1800" w:right="160" w:firstLine="648"/>
        <w:spacing w:after="0" w:line="263" w:lineRule="auto"/>
        <w:rPr>
          <w:sz w:val="20"/>
          <w:szCs w:val="20"/>
          <w:color w:val="auto"/>
        </w:rPr>
      </w:pPr>
      <w:r>
        <w:rPr>
          <w:rFonts w:ascii="Arial" w:cs="Arial" w:eastAsia="Arial" w:hAnsi="Arial"/>
          <w:sz w:val="19"/>
          <w:szCs w:val="19"/>
          <w:color w:val="auto"/>
        </w:rPr>
        <w:t>As of December 31, 2021, Highbridge Capital Management, LLC, as the trading manager of Highbridge Tactical Credit Master Fund, L.P. and Highbridge SPAC Opportunity Fund, L.P. (collectively, the "</w:t>
      </w:r>
      <w:r>
        <w:rPr>
          <w:rFonts w:ascii="Arial" w:cs="Arial" w:eastAsia="Arial" w:hAnsi="Arial"/>
          <w:sz w:val="19"/>
          <w:szCs w:val="19"/>
          <w:u w:val="single" w:color="auto"/>
          <w:color w:val="auto"/>
        </w:rPr>
        <w:t>Highbridge</w:t>
      </w:r>
      <w:r>
        <w:rPr>
          <w:rFonts w:ascii="Arial" w:cs="Arial" w:eastAsia="Arial" w:hAnsi="Arial"/>
          <w:sz w:val="19"/>
          <w:szCs w:val="19"/>
          <w:color w:val="auto"/>
        </w:rPr>
        <w:t xml:space="preserve"> </w:t>
      </w:r>
      <w:r>
        <w:rPr>
          <w:rFonts w:ascii="Arial" w:cs="Arial" w:eastAsia="Arial" w:hAnsi="Arial"/>
          <w:sz w:val="19"/>
          <w:szCs w:val="19"/>
          <w:u w:val="single" w:color="auto"/>
          <w:color w:val="auto"/>
        </w:rPr>
        <w:t>Funds</w:t>
      </w:r>
      <w:r>
        <w:rPr>
          <w:rFonts w:ascii="Arial" w:cs="Arial" w:eastAsia="Arial" w:hAnsi="Arial"/>
          <w:sz w:val="19"/>
          <w:szCs w:val="19"/>
          <w:color w:val="auto"/>
        </w:rPr>
        <w:t>"), may be deemed to be the beneficial owner of the 4,459,350 Common Shares (including 4,053,183 Common Shares issuable upon exercise of warrants) held by the Highbridge Funds.</w:t>
      </w:r>
    </w:p>
    <w:p>
      <w:pPr>
        <w:spacing w:after="0" w:line="190"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(b) Percent of class:</w:t>
      </w:r>
    </w:p>
    <w:p>
      <w:pPr>
        <w:spacing w:after="0" w:line="229" w:lineRule="exact"/>
        <w:rPr>
          <w:sz w:val="20"/>
          <w:szCs w:val="20"/>
          <w:color w:val="auto"/>
        </w:rPr>
      </w:pPr>
    </w:p>
    <w:p>
      <w:pPr>
        <w:ind w:left="1800" w:right="160" w:firstLine="648"/>
        <w:spacing w:after="0" w:line="278" w:lineRule="auto"/>
        <w:rPr>
          <w:sz w:val="20"/>
          <w:szCs w:val="20"/>
          <w:color w:val="auto"/>
        </w:rPr>
      </w:pPr>
      <w:r>
        <w:rPr>
          <w:rFonts w:ascii="Arial" w:cs="Arial" w:eastAsia="Arial" w:hAnsi="Arial"/>
          <w:sz w:val="18"/>
          <w:szCs w:val="18"/>
          <w:color w:val="auto"/>
        </w:rPr>
        <w:t>The percentages used herein and in the rest of this Schedule 13G/A are calculated based upon 225,259,277 Common Shares reported to be outstanding as of November 12, 2021, as reported in the Company's Quarterly Report filed on Form 10-Q for the quarterly period ended September 30, 2021 filed with the Securities and Exchange Commission on November 15, 2021. Therefore, as of December 31, 2021, Highbridge Capital Management, LLC may be deemed to beneficially own approximately 1.94% of the outstanding Common Shares.</w:t>
      </w:r>
    </w:p>
    <w:p>
      <w:pPr>
        <w:spacing w:after="0" w:line="178" w:lineRule="exact"/>
        <w:rPr>
          <w:sz w:val="20"/>
          <w:szCs w:val="20"/>
          <w:color w:val="auto"/>
        </w:rPr>
      </w:pPr>
    </w:p>
    <w:p>
      <w:pPr>
        <w:ind w:left="1800" w:right="180" w:firstLine="648"/>
        <w:spacing w:after="0" w:line="250" w:lineRule="auto"/>
        <w:rPr>
          <w:sz w:val="20"/>
          <w:szCs w:val="20"/>
          <w:color w:val="auto"/>
        </w:rPr>
      </w:pPr>
      <w:r>
        <w:rPr>
          <w:rFonts w:ascii="Arial" w:cs="Arial" w:eastAsia="Arial" w:hAnsi="Arial"/>
          <w:sz w:val="20"/>
          <w:szCs w:val="20"/>
          <w:color w:val="auto"/>
        </w:rPr>
        <w:t>The foregoing should not be construed in and of itself as an admission by the Reporting Person as to beneficial ownership of the Common Shares (including the Common Shares issuable upon exercise of warrants) held by the Highbridge Funds.</w:t>
      </w:r>
    </w:p>
    <w:p>
      <w:pPr>
        <w:spacing w:after="0" w:line="199" w:lineRule="exact"/>
        <w:rPr>
          <w:sz w:val="20"/>
          <w:szCs w:val="20"/>
          <w:color w:val="auto"/>
        </w:rPr>
      </w:pPr>
    </w:p>
    <w:p>
      <w:pPr>
        <w:ind w:left="2720" w:hanging="273"/>
        <w:spacing w:after="0"/>
        <w:tabs>
          <w:tab w:leader="none" w:pos="2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Number of shares as to which such person has:</w:t>
      </w:r>
    </w:p>
    <w:p>
      <w:pPr>
        <w:spacing w:after="0" w:line="229" w:lineRule="exact"/>
        <w:rPr>
          <w:rFonts w:ascii="Arial" w:cs="Arial" w:eastAsia="Arial" w:hAnsi="Arial"/>
          <w:sz w:val="20"/>
          <w:szCs w:val="20"/>
          <w:color w:val="auto"/>
        </w:rPr>
      </w:pPr>
    </w:p>
    <w:p>
      <w:pPr>
        <w:ind w:left="3620" w:right="4940" w:hanging="647"/>
        <w:spacing w:after="0" w:line="479" w:lineRule="auto"/>
        <w:tabs>
          <w:tab w:leader="none" w:pos="3208" w:val="left"/>
        </w:tabs>
        <w:numPr>
          <w:ilvl w:val="1"/>
          <w:numId w:val="4"/>
        </w:numPr>
        <w:rPr>
          <w:rFonts w:ascii="Arial" w:cs="Arial" w:eastAsia="Arial" w:hAnsi="Arial"/>
          <w:sz w:val="20"/>
          <w:szCs w:val="20"/>
          <w:color w:val="auto"/>
        </w:rPr>
      </w:pPr>
      <w:r>
        <w:rPr>
          <w:rFonts w:ascii="Arial" w:cs="Arial" w:eastAsia="Arial" w:hAnsi="Arial"/>
          <w:sz w:val="20"/>
          <w:szCs w:val="20"/>
          <w:color w:val="auto"/>
        </w:rPr>
        <w:t>Sole power to vote or to direct the vote 0</w:t>
      </w:r>
    </w:p>
    <w:p>
      <w:pPr>
        <w:ind w:left="3620" w:right="4700" w:hanging="647"/>
        <w:spacing w:after="0" w:line="479" w:lineRule="auto"/>
        <w:tabs>
          <w:tab w:leader="none" w:pos="3263" w:val="left"/>
        </w:tabs>
        <w:numPr>
          <w:ilvl w:val="1"/>
          <w:numId w:val="4"/>
        </w:numPr>
        <w:rPr>
          <w:rFonts w:ascii="Arial" w:cs="Arial" w:eastAsia="Arial" w:hAnsi="Arial"/>
          <w:sz w:val="20"/>
          <w:szCs w:val="20"/>
          <w:color w:val="auto"/>
        </w:rPr>
      </w:pPr>
      <w:r>
        <w:rPr>
          <w:rFonts w:ascii="Arial" w:cs="Arial" w:eastAsia="Arial" w:hAnsi="Arial"/>
          <w:sz w:val="20"/>
          <w:szCs w:val="20"/>
          <w:color w:val="auto"/>
        </w:rPr>
        <w:t>Shared power to vote or to direct the vote See Item 4(a)</w:t>
      </w:r>
    </w:p>
    <w:p>
      <w:pPr>
        <w:ind w:left="3740" w:right="3800" w:hanging="734"/>
        <w:spacing w:after="0" w:line="500" w:lineRule="auto"/>
        <w:tabs>
          <w:tab w:leader="none" w:pos="3349" w:val="left"/>
        </w:tabs>
        <w:numPr>
          <w:ilvl w:val="2"/>
          <w:numId w:val="4"/>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 0</w:t>
      </w:r>
    </w:p>
    <w:p>
      <w:pPr>
        <w:sectPr>
          <w:pgSz w:w="11900" w:h="16838" w:orient="portrait"/>
          <w:cols w:equalWidth="0" w:num="1">
            <w:col w:w="11240"/>
          </w:cols>
          <w:pgMar w:left="320" w:top="463" w:right="339" w:bottom="1440" w:gutter="0" w:footer="0" w:header="0"/>
          <w:type w:val="continuous"/>
        </w:sectPr>
      </w:pPr>
    </w:p>
    <w:bookmarkStart w:id="4" w:name="page5"/>
    <w:bookmarkEnd w:id="4"/>
    <w:p>
      <w:pPr>
        <w:spacing w:after="0"/>
        <w:tabs>
          <w:tab w:leader="none" w:pos="5320" w:val="left"/>
          <w:tab w:leader="none" w:pos="9640" w:val="left"/>
        </w:tabs>
        <w:rPr>
          <w:sz w:val="20"/>
          <w:szCs w:val="20"/>
          <w:color w:val="auto"/>
        </w:rPr>
      </w:pPr>
      <w:r>
        <w:rPr>
          <w:rFonts w:ascii="Arial" w:cs="Arial" w:eastAsia="Arial" w:hAnsi="Arial"/>
          <w:sz w:val="22"/>
          <w:szCs w:val="22"/>
          <w:b w:val="1"/>
          <w:bCs w:val="1"/>
          <w:color w:val="auto"/>
        </w:rPr>
        <w:t>CUSIP No. 87261Y106</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5 of 6 Pages</w:t>
      </w:r>
    </w:p>
    <w:p>
      <w:pPr>
        <w:sectPr>
          <w:pgSz w:w="11900" w:h="16838" w:orient="portrait"/>
          <w:cols w:equalWidth="0" w:num="1">
            <w:col w:w="11240"/>
          </w:cols>
          <w:pgMar w:left="320" w:top="463" w:right="339" w:bottom="1440" w:gutter="0" w:footer="0" w:header="0"/>
        </w:sectPr>
      </w:pPr>
    </w:p>
    <w:p>
      <w:pPr>
        <w:spacing w:after="0" w:line="33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(iv) Shared power to dispose or to direct the disposition of</w:t>
      </w:r>
    </w:p>
    <w:p>
      <w:pPr>
        <w:spacing w:after="0" w:line="229"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See Item 4(a)</w:t>
      </w:r>
    </w:p>
    <w:p>
      <w:pPr>
        <w:spacing w:after="0" w:line="223"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800" w:right="460"/>
        <w:spacing w:after="0" w:line="258"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9"/>
          <w:szCs w:val="19"/>
          <w:color w:val="auto"/>
        </w:rPr>
        <w:t>☒</w:t>
      </w:r>
    </w:p>
    <w:p>
      <w:pPr>
        <w:spacing w:after="0" w:line="181"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See Item 4.</w:t>
      </w:r>
    </w:p>
    <w:p>
      <w:pPr>
        <w:spacing w:after="0" w:line="223"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The Reporting Person hereby makes the following certification:</w:t>
      </w:r>
    </w:p>
    <w:p>
      <w:pPr>
        <w:spacing w:after="0" w:line="229"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the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3" w:right="339" w:bottom="1440" w:gutter="0" w:footer="0" w:header="0"/>
          <w:type w:val="continuous"/>
        </w:sectPr>
      </w:pPr>
    </w:p>
    <w:bookmarkStart w:id="5" w:name="page6"/>
    <w:bookmarkEnd w:id="5"/>
    <w:p>
      <w:pPr>
        <w:spacing w:after="0"/>
        <w:tabs>
          <w:tab w:leader="none" w:pos="5320" w:val="left"/>
          <w:tab w:leader="none" w:pos="9640" w:val="left"/>
        </w:tabs>
        <w:rPr>
          <w:sz w:val="20"/>
          <w:szCs w:val="20"/>
          <w:color w:val="auto"/>
        </w:rPr>
      </w:pPr>
      <w:r>
        <w:rPr>
          <w:rFonts w:ascii="Arial" w:cs="Arial" w:eastAsia="Arial" w:hAnsi="Arial"/>
          <w:sz w:val="22"/>
          <w:szCs w:val="22"/>
          <w:b w:val="1"/>
          <w:bCs w:val="1"/>
          <w:color w:val="auto"/>
        </w:rPr>
        <w:t>CUSIP No. 87261Y106</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6 of 6 Pages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27, 2022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HIGHBRIDGE CAPITAL MANAGEMENT, LLC</w:t>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Kirk Rule</w:t>
            </w:r>
          </w:p>
        </w:tc>
      </w:tr>
      <w:tr>
        <w:trPr>
          <w:trHeight w:val="213"/>
        </w:trPr>
        <w:tc>
          <w:tcPr>
            <w:tcW w:w="9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060" w:type="dxa"/>
            <w:vAlign w:val="bottom"/>
          </w:tcPr>
          <w:p>
            <w:pPr>
              <w:ind w:left="100"/>
              <w:spacing w:after="0" w:line="212" w:lineRule="exact"/>
              <w:rPr>
                <w:sz w:val="20"/>
                <w:szCs w:val="20"/>
                <w:color w:val="auto"/>
              </w:rPr>
            </w:pPr>
            <w:r>
              <w:rPr>
                <w:rFonts w:ascii="Arial" w:cs="Arial" w:eastAsia="Arial" w:hAnsi="Arial"/>
                <w:sz w:val="20"/>
                <w:szCs w:val="20"/>
                <w:color w:val="auto"/>
              </w:rPr>
              <w:t>Kirk Rule</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060" w:type="dxa"/>
            <w:vAlign w:val="bottom"/>
          </w:tcPr>
          <w:p>
            <w:pPr>
              <w:ind w:left="100"/>
              <w:spacing w:after="0"/>
              <w:rPr>
                <w:sz w:val="20"/>
                <w:szCs w:val="20"/>
                <w:color w:val="auto"/>
              </w:rPr>
            </w:pPr>
            <w:r>
              <w:rPr>
                <w:rFonts w:ascii="Arial" w:cs="Arial" w:eastAsia="Arial" w:hAnsi="Arial"/>
                <w:sz w:val="20"/>
                <w:szCs w:val="20"/>
                <w:color w:val="auto"/>
              </w:rPr>
              <w:t>Executive Director</w:t>
            </w:r>
          </w:p>
        </w:tc>
      </w:tr>
    </w:tbl>
    <w:p>
      <w:pPr>
        <w:spacing w:after="0" w:line="1" w:lineRule="exact"/>
        <w:rPr>
          <w:sz w:val="20"/>
          <w:szCs w:val="20"/>
          <w:color w:val="auto"/>
        </w:rPr>
      </w:pPr>
    </w:p>
    <w:sectPr>
      <w:pgSz w:w="11900" w:h="16838" w:orient="portrait"/>
      <w:cols w:equalWidth="0" w:num="1">
        <w:col w:w="11240"/>
      </w:cols>
      <w:pgMar w:left="320" w:top="4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8"/>
    </w:lvl>
  </w:abstractNum>
  <w:abstractNum w:abstractNumId="3">
    <w:nsid w:val="625558E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2022-01-27T07:25:05Z</dcterms:created>
  <dcterms:modified xsi:type="dcterms:W3CDTF">2022-01-27T07:25:05Z</dcterms:modified>
</cp:coreProperties>
</file>