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Sustainable Opportunities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G8598Y125**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x</w:t>
      </w:r>
      <w:r>
        <w:rPr>
          <w:rFonts w:ascii="Arial" w:cs="Arial" w:eastAsia="Arial" w:hAnsi="Arial"/>
          <w:sz w:val="18"/>
          <w:szCs w:val="18"/>
          <w:color w:val="auto"/>
        </w:rPr>
        <w:t>] Rule 13d-1(c)</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color w:val="auto"/>
        </w:rPr>
        <w:t>**The Class A Ordinary Shares have no CUSIP number. The CUSIP number for the units that include the Class A Ordinary Shares is G8598Y125.</w:t>
      </w:r>
    </w:p>
    <w:p>
      <w:pPr>
        <w:spacing w:after="0" w:line="23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G8598Y125</w:t>
            </w:r>
          </w:p>
        </w:tc>
      </w:tr>
    </w:tbl>
    <w:p>
      <w:pPr>
        <w:spacing w:after="0" w:line="202" w:lineRule="exact"/>
        <w:rPr>
          <w:sz w:val="20"/>
          <w:szCs w:val="20"/>
          <w:color w:val="auto"/>
        </w:rPr>
      </w:pPr>
    </w:p>
    <w:p>
      <w:pPr>
        <w:ind w:left="1140" w:hanging="1132"/>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140" w:right="39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Vellar Opportunities Fund Master, Ltd.</w:t>
      </w:r>
    </w:p>
    <w:p>
      <w:pPr>
        <w:spacing w:after="0" w:line="1" w:lineRule="exact"/>
        <w:rPr>
          <w:rFonts w:ascii="Arial" w:cs="Arial" w:eastAsia="Arial" w:hAnsi="Arial"/>
          <w:sz w:val="18"/>
          <w:szCs w:val="18"/>
          <w:color w:val="auto"/>
        </w:rPr>
      </w:pPr>
    </w:p>
    <w:p>
      <w:pPr>
        <w:ind w:left="1140" w:hanging="1132"/>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_</w:t>
      </w:r>
      <w:r>
        <w:rPr>
          <w:rFonts w:ascii="Arial" w:cs="Arial" w:eastAsia="Arial" w:hAnsi="Arial"/>
          <w:sz w:val="18"/>
          <w:szCs w:val="18"/>
          <w:color w:val="auto"/>
        </w:rPr>
        <w:t>]</w:t>
      </w:r>
    </w:p>
    <w:p>
      <w:pPr>
        <w:spacing w:after="0" w:line="211" w:lineRule="exact"/>
        <w:rPr>
          <w:sz w:val="20"/>
          <w:szCs w:val="20"/>
          <w:color w:val="auto"/>
        </w:rPr>
      </w:pPr>
    </w:p>
    <w:p>
      <w:pPr>
        <w:ind w:left="1140" w:hanging="113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140" w:hanging="113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right="7620" w:hanging="1132"/>
        <w:spacing w:after="0" w:line="50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140" w:right="7340" w:hanging="1132"/>
        <w:spacing w:after="0" w:line="50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1,967,500</w:t>
      </w:r>
    </w:p>
    <w:p>
      <w:pPr>
        <w:spacing w:after="0" w:line="1" w:lineRule="exact"/>
        <w:rPr>
          <w:rFonts w:ascii="Arial" w:cs="Arial" w:eastAsia="Arial" w:hAnsi="Arial"/>
          <w:sz w:val="18"/>
          <w:szCs w:val="18"/>
          <w:color w:val="auto"/>
        </w:rPr>
      </w:pPr>
    </w:p>
    <w:p>
      <w:pPr>
        <w:ind w:left="1140" w:right="7220" w:hanging="1132"/>
        <w:spacing w:after="0" w:line="50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140" w:right="6940" w:hanging="1132"/>
        <w:spacing w:after="0" w:line="50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1,967,500</w:t>
      </w:r>
    </w:p>
    <w:p>
      <w:pPr>
        <w:spacing w:after="0" w:line="1" w:lineRule="exact"/>
        <w:rPr>
          <w:rFonts w:ascii="Arial" w:cs="Arial" w:eastAsia="Arial" w:hAnsi="Arial"/>
          <w:sz w:val="18"/>
          <w:szCs w:val="18"/>
          <w:color w:val="auto"/>
        </w:rPr>
      </w:pPr>
    </w:p>
    <w:p>
      <w:pPr>
        <w:ind w:left="1140" w:right="2920" w:hanging="1132"/>
        <w:spacing w:after="0" w:line="50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1,967,500</w:t>
      </w:r>
    </w:p>
    <w:p>
      <w:pPr>
        <w:spacing w:after="0" w:line="1" w:lineRule="exact"/>
        <w:rPr>
          <w:rFonts w:ascii="Arial" w:cs="Arial" w:eastAsia="Arial" w:hAnsi="Arial"/>
          <w:sz w:val="18"/>
          <w:szCs w:val="18"/>
          <w:color w:val="auto"/>
        </w:rPr>
      </w:pPr>
    </w:p>
    <w:p>
      <w:pPr>
        <w:ind w:left="1140" w:hanging="1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1140" w:right="4420" w:hanging="1132"/>
        <w:spacing w:after="0" w:line="50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w:t>
      </w:r>
    </w:p>
    <w:p>
      <w:pPr>
        <w:spacing w:after="0" w:line="1" w:lineRule="exact"/>
        <w:rPr>
          <w:rFonts w:ascii="Arial" w:cs="Arial" w:eastAsia="Arial" w:hAnsi="Arial"/>
          <w:sz w:val="18"/>
          <w:szCs w:val="18"/>
          <w:color w:val="auto"/>
        </w:rPr>
      </w:pPr>
    </w:p>
    <w:p>
      <w:pPr>
        <w:ind w:left="1140" w:right="5140" w:hanging="1132"/>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320" w:top="584" w:right="9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G8598Y125</w:t>
            </w:r>
          </w:p>
        </w:tc>
      </w:tr>
    </w:tbl>
    <w:p>
      <w:pPr>
        <w:spacing w:after="0" w:line="202" w:lineRule="exact"/>
        <w:rPr>
          <w:sz w:val="20"/>
          <w:szCs w:val="20"/>
          <w:color w:val="auto"/>
        </w:rPr>
      </w:pPr>
    </w:p>
    <w:p>
      <w:pPr>
        <w:ind w:left="1140" w:hanging="1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140" w:right="39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Cohen &amp; Company Financial Management, LLC</w:t>
      </w:r>
    </w:p>
    <w:p>
      <w:pPr>
        <w:spacing w:after="0" w:line="1" w:lineRule="exact"/>
        <w:rPr>
          <w:rFonts w:ascii="Arial" w:cs="Arial" w:eastAsia="Arial" w:hAnsi="Arial"/>
          <w:sz w:val="18"/>
          <w:szCs w:val="18"/>
          <w:color w:val="auto"/>
        </w:rPr>
      </w:pPr>
    </w:p>
    <w:p>
      <w:pPr>
        <w:ind w:left="1140" w:hanging="1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_</w:t>
      </w:r>
      <w:r>
        <w:rPr>
          <w:rFonts w:ascii="Arial" w:cs="Arial" w:eastAsia="Arial" w:hAnsi="Arial"/>
          <w:sz w:val="18"/>
          <w:szCs w:val="18"/>
          <w:color w:val="auto"/>
        </w:rPr>
        <w:t>]</w:t>
      </w:r>
    </w:p>
    <w:p>
      <w:pPr>
        <w:spacing w:after="0" w:line="211" w:lineRule="exact"/>
        <w:rPr>
          <w:sz w:val="20"/>
          <w:szCs w:val="20"/>
          <w:color w:val="auto"/>
        </w:rPr>
      </w:pPr>
    </w:p>
    <w:p>
      <w:pPr>
        <w:ind w:left="1140" w:hanging="113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140" w:hanging="113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right="7620" w:hanging="1132"/>
        <w:spacing w:after="0" w:line="50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140" w:right="7340" w:hanging="1132"/>
        <w:spacing w:after="0" w:line="50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VOTING POWER 1,967,500</w:t>
      </w:r>
    </w:p>
    <w:p>
      <w:pPr>
        <w:spacing w:after="0" w:line="1" w:lineRule="exact"/>
        <w:rPr>
          <w:rFonts w:ascii="Arial" w:cs="Arial" w:eastAsia="Arial" w:hAnsi="Arial"/>
          <w:sz w:val="18"/>
          <w:szCs w:val="18"/>
          <w:color w:val="auto"/>
        </w:rPr>
      </w:pPr>
    </w:p>
    <w:p>
      <w:pPr>
        <w:ind w:left="1140" w:right="7220" w:hanging="1132"/>
        <w:spacing w:after="0" w:line="50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140" w:right="6940" w:hanging="1132"/>
        <w:spacing w:after="0" w:line="50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DISPOSITIVE POWER 1,967,500</w:t>
      </w:r>
    </w:p>
    <w:p>
      <w:pPr>
        <w:spacing w:after="0" w:line="1" w:lineRule="exact"/>
        <w:rPr>
          <w:rFonts w:ascii="Arial" w:cs="Arial" w:eastAsia="Arial" w:hAnsi="Arial"/>
          <w:sz w:val="18"/>
          <w:szCs w:val="18"/>
          <w:color w:val="auto"/>
        </w:rPr>
      </w:pPr>
    </w:p>
    <w:p>
      <w:pPr>
        <w:ind w:left="1140" w:right="2920" w:hanging="1132"/>
        <w:spacing w:after="0" w:line="50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1,967,500</w:t>
      </w:r>
    </w:p>
    <w:p>
      <w:pPr>
        <w:spacing w:after="0" w:line="1" w:lineRule="exact"/>
        <w:rPr>
          <w:rFonts w:ascii="Arial" w:cs="Arial" w:eastAsia="Arial" w:hAnsi="Arial"/>
          <w:sz w:val="18"/>
          <w:szCs w:val="18"/>
          <w:color w:val="auto"/>
        </w:rPr>
      </w:pPr>
    </w:p>
    <w:p>
      <w:pPr>
        <w:ind w:left="1140" w:hanging="113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1140" w:right="4420" w:hanging="1132"/>
        <w:spacing w:after="0" w:line="50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w:t>
      </w:r>
    </w:p>
    <w:p>
      <w:pPr>
        <w:spacing w:after="0" w:line="1" w:lineRule="exact"/>
        <w:rPr>
          <w:rFonts w:ascii="Arial" w:cs="Arial" w:eastAsia="Arial" w:hAnsi="Arial"/>
          <w:sz w:val="18"/>
          <w:szCs w:val="18"/>
          <w:color w:val="auto"/>
        </w:rPr>
      </w:pPr>
    </w:p>
    <w:p>
      <w:pPr>
        <w:ind w:left="1140" w:right="5140" w:hanging="1132"/>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20" w:top="584" w:right="959" w:bottom="1440" w:gutter="0" w:footer="0" w:header="0"/>
        </w:sectPr>
      </w:pPr>
    </w:p>
    <w:bookmarkStart w:id="3" w:name="page4"/>
    <w:bookmarkEnd w:id="3"/>
    <w:p>
      <w:pPr>
        <w:ind w:left="1580"/>
        <w:spacing w:after="0"/>
        <w:rPr>
          <w:sz w:val="20"/>
          <w:szCs w:val="20"/>
          <w:color w:val="auto"/>
        </w:rPr>
      </w:pPr>
      <w:r>
        <w:rPr>
          <w:rFonts w:ascii="Arial" w:cs="Arial" w:eastAsia="Arial" w:hAnsi="Arial"/>
          <w:sz w:val="20"/>
          <w:szCs w:val="20"/>
          <w:color w:val="auto"/>
        </w:rPr>
        <w:t>G8598Y125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7" w:lineRule="exact"/>
        <w:rPr>
          <w:sz w:val="20"/>
          <w:szCs w:val="20"/>
          <w:color w:val="auto"/>
        </w:rPr>
      </w:pPr>
    </w:p>
    <w:p>
      <w:pPr>
        <w:ind w:left="900" w:hanging="895"/>
        <w:spacing w:after="0"/>
        <w:tabs>
          <w:tab w:leader="none" w:pos="900" w:val="left"/>
        </w:tabs>
        <w:numPr>
          <w:ilvl w:val="0"/>
          <w:numId w:val="9"/>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00" w:right="3620"/>
        <w:spacing w:after="0" w:line="503"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Dekania Investors, LLC</w:t>
      </w:r>
    </w:p>
    <w:p>
      <w:pPr>
        <w:ind w:left="900" w:hanging="895"/>
        <w:spacing w:after="0"/>
        <w:tabs>
          <w:tab w:leader="none" w:pos="9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w:t>
      </w:r>
      <w:r>
        <w:rPr>
          <w:rFonts w:ascii="Arial" w:cs="Arial" w:eastAsia="Arial" w:hAnsi="Arial"/>
          <w:sz w:val="20"/>
          <w:szCs w:val="20"/>
          <w:u w:val="single" w:color="auto"/>
          <w:color w:val="auto"/>
        </w:rPr>
        <w:t>_</w:t>
      </w:r>
      <w:r>
        <w:rPr>
          <w:rFonts w:ascii="Arial" w:cs="Arial" w:eastAsia="Arial" w:hAnsi="Arial"/>
          <w:sz w:val="20"/>
          <w:szCs w:val="20"/>
          <w:color w:val="auto"/>
        </w:rPr>
        <w:t>]</w:t>
      </w:r>
    </w:p>
    <w:p>
      <w:pPr>
        <w:spacing w:after="0" w:line="249" w:lineRule="exact"/>
        <w:rPr>
          <w:sz w:val="20"/>
          <w:szCs w:val="20"/>
          <w:color w:val="auto"/>
        </w:rPr>
      </w:pPr>
    </w:p>
    <w:p>
      <w:pPr>
        <w:ind w:left="900" w:hanging="895"/>
        <w:spacing w:after="0"/>
        <w:tabs>
          <w:tab w:leader="none" w:pos="9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ind w:left="900" w:hanging="895"/>
        <w:spacing w:after="0"/>
        <w:tabs>
          <w:tab w:leader="none" w:pos="9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00" w:right="7720" w:hanging="895"/>
        <w:spacing w:after="0" w:line="507" w:lineRule="auto"/>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SOLE VOTING POWER 0</w:t>
      </w:r>
    </w:p>
    <w:p>
      <w:pPr>
        <w:ind w:left="900" w:right="7420" w:hanging="895"/>
        <w:spacing w:after="0" w:line="507" w:lineRule="auto"/>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SHARED VOTING POWER 1,967,500</w:t>
      </w:r>
    </w:p>
    <w:p>
      <w:pPr>
        <w:ind w:left="900" w:right="7280" w:hanging="895"/>
        <w:spacing w:after="0" w:line="507" w:lineRule="auto"/>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00" w:right="6980" w:hanging="895"/>
        <w:spacing w:after="0" w:line="507" w:lineRule="auto"/>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SHARED DISPOSITIVE POWER 1,967,500</w:t>
      </w:r>
    </w:p>
    <w:p>
      <w:pPr>
        <w:ind w:left="900" w:right="2560" w:hanging="895"/>
        <w:spacing w:after="0" w:line="500" w:lineRule="auto"/>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1,967,500</w:t>
      </w:r>
    </w:p>
    <w:p>
      <w:pPr>
        <w:ind w:left="900" w:right="1540" w:hanging="895"/>
        <w:spacing w:after="0" w:line="247" w:lineRule="auto"/>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00" w:lineRule="exact"/>
        <w:rPr>
          <w:sz w:val="20"/>
          <w:szCs w:val="20"/>
          <w:color w:val="auto"/>
        </w:rPr>
      </w:pPr>
    </w:p>
    <w:p>
      <w:pPr>
        <w:spacing w:after="0" w:line="283" w:lineRule="exact"/>
        <w:rPr>
          <w:sz w:val="20"/>
          <w:szCs w:val="20"/>
          <w:color w:val="auto"/>
        </w:rPr>
      </w:pPr>
    </w:p>
    <w:p>
      <w:pPr>
        <w:ind w:left="900" w:right="4200" w:hanging="895"/>
        <w:spacing w:after="0" w:line="507" w:lineRule="auto"/>
        <w:tabs>
          <w:tab w:leader="none" w:pos="9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PERCENT OF CLASS REPRESENTED BY AMOUNT IN ROW (9) 6.6%</w:t>
      </w:r>
    </w:p>
    <w:p>
      <w:pPr>
        <w:ind w:left="900" w:right="5000" w:hanging="895"/>
        <w:spacing w:after="0" w:line="274" w:lineRule="auto"/>
        <w:tabs>
          <w:tab w:leader="none" w:pos="9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TYPE OF REPORTING PERSON (SEE INSTRUCTIONS) 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191770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420" w:top="582" w:right="799" w:bottom="1440" w:gutter="0" w:footer="0" w:header="0"/>
        </w:sectPr>
      </w:pPr>
    </w:p>
    <w:bookmarkStart w:id="4" w:name="page5"/>
    <w:bookmarkEnd w:id="4"/>
    <w:p>
      <w:pPr>
        <w:ind w:left="1700"/>
        <w:spacing w:after="0"/>
        <w:rPr>
          <w:sz w:val="20"/>
          <w:szCs w:val="20"/>
          <w:color w:val="auto"/>
        </w:rPr>
      </w:pPr>
      <w:r>
        <w:rPr>
          <w:rFonts w:ascii="Arial" w:cs="Arial" w:eastAsia="Arial" w:hAnsi="Arial"/>
          <w:sz w:val="20"/>
          <w:szCs w:val="20"/>
          <w:color w:val="auto"/>
        </w:rPr>
        <w:t>G8598Y125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0</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7" w:lineRule="exact"/>
        <w:rPr>
          <w:sz w:val="20"/>
          <w:szCs w:val="20"/>
          <w:color w:val="auto"/>
        </w:rPr>
      </w:pPr>
    </w:p>
    <w:p>
      <w:pPr>
        <w:ind w:left="900" w:hanging="895"/>
        <w:spacing w:after="0"/>
        <w:tabs>
          <w:tab w:leader="none" w:pos="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00" w:right="3620"/>
        <w:spacing w:after="0" w:line="503"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Cohen &amp; Company LLC</w:t>
      </w:r>
    </w:p>
    <w:p>
      <w:pPr>
        <w:ind w:left="900" w:hanging="895"/>
        <w:spacing w:after="0"/>
        <w:tabs>
          <w:tab w:leader="none" w:pos="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w:t>
      </w:r>
      <w:r>
        <w:rPr>
          <w:rFonts w:ascii="Arial" w:cs="Arial" w:eastAsia="Arial" w:hAnsi="Arial"/>
          <w:sz w:val="20"/>
          <w:szCs w:val="20"/>
          <w:u w:val="single" w:color="auto"/>
          <w:color w:val="auto"/>
        </w:rPr>
        <w:t>_</w:t>
      </w:r>
      <w:r>
        <w:rPr>
          <w:rFonts w:ascii="Arial" w:cs="Arial" w:eastAsia="Arial" w:hAnsi="Arial"/>
          <w:sz w:val="20"/>
          <w:szCs w:val="20"/>
          <w:color w:val="auto"/>
        </w:rPr>
        <w:t>]</w:t>
      </w:r>
    </w:p>
    <w:p>
      <w:pPr>
        <w:spacing w:after="0" w:line="249" w:lineRule="exact"/>
        <w:rPr>
          <w:sz w:val="20"/>
          <w:szCs w:val="20"/>
          <w:color w:val="auto"/>
        </w:rPr>
      </w:pPr>
    </w:p>
    <w:p>
      <w:pPr>
        <w:ind w:left="900" w:hanging="895"/>
        <w:spacing w:after="0"/>
        <w:tabs>
          <w:tab w:leader="none" w:pos="9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ind w:left="900" w:hanging="895"/>
        <w:spacing w:after="0"/>
        <w:tabs>
          <w:tab w:leader="none" w:pos="9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00" w:right="7720" w:hanging="895"/>
        <w:spacing w:after="0" w:line="507" w:lineRule="auto"/>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SOLE VOTING POWER 0</w:t>
      </w:r>
    </w:p>
    <w:p>
      <w:pPr>
        <w:ind w:left="900" w:right="7420" w:hanging="895"/>
        <w:spacing w:after="0" w:line="507" w:lineRule="auto"/>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SHARED VOTING POWER 1,967,500</w:t>
      </w:r>
    </w:p>
    <w:p>
      <w:pPr>
        <w:ind w:left="900" w:right="7280" w:hanging="895"/>
        <w:spacing w:after="0" w:line="507" w:lineRule="auto"/>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00" w:right="6980" w:hanging="895"/>
        <w:spacing w:after="0" w:line="507" w:lineRule="auto"/>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SHARED DISPOSITIVE POWER 1,967,500</w:t>
      </w:r>
    </w:p>
    <w:p>
      <w:pPr>
        <w:ind w:left="900" w:right="2560" w:hanging="895"/>
        <w:spacing w:after="0" w:line="500" w:lineRule="auto"/>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1,967,500</w:t>
      </w:r>
    </w:p>
    <w:p>
      <w:pPr>
        <w:ind w:left="900" w:right="1540" w:hanging="895"/>
        <w:spacing w:after="0" w:line="247" w:lineRule="auto"/>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00" w:lineRule="exact"/>
        <w:rPr>
          <w:sz w:val="20"/>
          <w:szCs w:val="20"/>
          <w:color w:val="auto"/>
        </w:rPr>
      </w:pPr>
    </w:p>
    <w:p>
      <w:pPr>
        <w:spacing w:after="0" w:line="283" w:lineRule="exact"/>
        <w:rPr>
          <w:sz w:val="20"/>
          <w:szCs w:val="20"/>
          <w:color w:val="auto"/>
        </w:rPr>
      </w:pPr>
    </w:p>
    <w:p>
      <w:pPr>
        <w:ind w:left="900" w:right="4200" w:hanging="895"/>
        <w:spacing w:after="0" w:line="507" w:lineRule="auto"/>
        <w:tabs>
          <w:tab w:leader="none" w:pos="9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PERCENT OF CLASS REPRESENTED BY AMOUNT IN ROW (9) 6.6%</w:t>
      </w:r>
    </w:p>
    <w:p>
      <w:pPr>
        <w:ind w:left="900" w:right="5000" w:hanging="895"/>
        <w:spacing w:after="0" w:line="274" w:lineRule="auto"/>
        <w:tabs>
          <w:tab w:leader="none" w:pos="9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TYPE OF REPORTING PERSON (SEE INSTRUCTIONS) 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191770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420" w:top="582" w:right="7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G8598Y125</w:t>
            </w:r>
          </w:p>
        </w:tc>
      </w:tr>
    </w:tbl>
    <w:p>
      <w:pPr>
        <w:spacing w:after="0" w:line="202" w:lineRule="exact"/>
        <w:rPr>
          <w:sz w:val="20"/>
          <w:szCs w:val="20"/>
          <w:color w:val="auto"/>
        </w:rPr>
      </w:pPr>
    </w:p>
    <w:p>
      <w:pPr>
        <w:ind w:left="1140" w:hanging="113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140" w:right="39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Cohen &amp; Company Inc.</w:t>
      </w:r>
    </w:p>
    <w:p>
      <w:pPr>
        <w:spacing w:after="0" w:line="1" w:lineRule="exact"/>
        <w:rPr>
          <w:rFonts w:ascii="Arial" w:cs="Arial" w:eastAsia="Arial" w:hAnsi="Arial"/>
          <w:sz w:val="18"/>
          <w:szCs w:val="18"/>
          <w:color w:val="auto"/>
        </w:rPr>
      </w:pPr>
    </w:p>
    <w:p>
      <w:pPr>
        <w:ind w:left="1140" w:hanging="113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_</w:t>
      </w:r>
      <w:r>
        <w:rPr>
          <w:rFonts w:ascii="Arial" w:cs="Arial" w:eastAsia="Arial" w:hAnsi="Arial"/>
          <w:sz w:val="18"/>
          <w:szCs w:val="18"/>
          <w:color w:val="auto"/>
        </w:rPr>
        <w:t>]</w:t>
      </w:r>
    </w:p>
    <w:p>
      <w:pPr>
        <w:spacing w:after="0" w:line="211" w:lineRule="exact"/>
        <w:rPr>
          <w:sz w:val="20"/>
          <w:szCs w:val="20"/>
          <w:color w:val="auto"/>
        </w:rPr>
      </w:pPr>
    </w:p>
    <w:p>
      <w:pPr>
        <w:ind w:left="1140" w:hanging="113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140" w:hanging="113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right="7620" w:hanging="1132"/>
        <w:spacing w:after="0" w:line="500"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140" w:right="7340" w:hanging="1132"/>
        <w:spacing w:after="0" w:line="500"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VOTING POWER 1,967,500</w:t>
      </w:r>
    </w:p>
    <w:p>
      <w:pPr>
        <w:spacing w:after="0" w:line="1" w:lineRule="exact"/>
        <w:rPr>
          <w:rFonts w:ascii="Arial" w:cs="Arial" w:eastAsia="Arial" w:hAnsi="Arial"/>
          <w:sz w:val="18"/>
          <w:szCs w:val="18"/>
          <w:color w:val="auto"/>
        </w:rPr>
      </w:pPr>
    </w:p>
    <w:p>
      <w:pPr>
        <w:ind w:left="1140" w:right="7220" w:hanging="1132"/>
        <w:spacing w:after="0" w:line="500"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140" w:right="6940" w:hanging="1132"/>
        <w:spacing w:after="0" w:line="500"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DISPOSITIVE POWER 1,967,500</w:t>
      </w:r>
    </w:p>
    <w:p>
      <w:pPr>
        <w:spacing w:after="0" w:line="1" w:lineRule="exact"/>
        <w:rPr>
          <w:rFonts w:ascii="Arial" w:cs="Arial" w:eastAsia="Arial" w:hAnsi="Arial"/>
          <w:sz w:val="18"/>
          <w:szCs w:val="18"/>
          <w:color w:val="auto"/>
        </w:rPr>
      </w:pPr>
    </w:p>
    <w:p>
      <w:pPr>
        <w:ind w:left="1140" w:right="2920" w:hanging="1132"/>
        <w:spacing w:after="0" w:line="500"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1,967,500</w:t>
      </w:r>
    </w:p>
    <w:p>
      <w:pPr>
        <w:spacing w:after="0" w:line="1" w:lineRule="exact"/>
        <w:rPr>
          <w:rFonts w:ascii="Arial" w:cs="Arial" w:eastAsia="Arial" w:hAnsi="Arial"/>
          <w:sz w:val="18"/>
          <w:szCs w:val="18"/>
          <w:color w:val="auto"/>
        </w:rPr>
      </w:pPr>
    </w:p>
    <w:p>
      <w:pPr>
        <w:ind w:left="1140" w:hanging="113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1140" w:right="4420" w:hanging="1132"/>
        <w:spacing w:after="0" w:line="500"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w:t>
      </w:r>
    </w:p>
    <w:p>
      <w:pPr>
        <w:spacing w:after="0" w:line="1" w:lineRule="exact"/>
        <w:rPr>
          <w:rFonts w:ascii="Arial" w:cs="Arial" w:eastAsia="Arial" w:hAnsi="Arial"/>
          <w:sz w:val="18"/>
          <w:szCs w:val="18"/>
          <w:color w:val="auto"/>
        </w:rPr>
      </w:pPr>
    </w:p>
    <w:p>
      <w:pPr>
        <w:ind w:left="1140" w:right="5140" w:hanging="113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 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320" w:top="584" w:right="9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G8598Y125</w:t>
            </w:r>
          </w:p>
        </w:tc>
      </w:tr>
    </w:tbl>
    <w:p>
      <w:pPr>
        <w:spacing w:after="0" w:line="202" w:lineRule="exact"/>
        <w:rPr>
          <w:sz w:val="20"/>
          <w:szCs w:val="20"/>
          <w:color w:val="auto"/>
        </w:rPr>
      </w:pPr>
    </w:p>
    <w:p>
      <w:pPr>
        <w:ind w:left="1140" w:hanging="113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140" w:right="39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Daniel G. Cohen</w:t>
      </w:r>
    </w:p>
    <w:p>
      <w:pPr>
        <w:spacing w:after="0" w:line="1" w:lineRule="exact"/>
        <w:rPr>
          <w:rFonts w:ascii="Arial" w:cs="Arial" w:eastAsia="Arial" w:hAnsi="Arial"/>
          <w:sz w:val="18"/>
          <w:szCs w:val="18"/>
          <w:color w:val="auto"/>
        </w:rPr>
      </w:pPr>
    </w:p>
    <w:p>
      <w:pPr>
        <w:ind w:left="1140" w:hanging="113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_</w:t>
      </w:r>
      <w:r>
        <w:rPr>
          <w:rFonts w:ascii="Arial" w:cs="Arial" w:eastAsia="Arial" w:hAnsi="Arial"/>
          <w:sz w:val="18"/>
          <w:szCs w:val="18"/>
          <w:color w:val="auto"/>
        </w:rPr>
        <w:t>]</w:t>
      </w:r>
    </w:p>
    <w:p>
      <w:pPr>
        <w:spacing w:after="0" w:line="211" w:lineRule="exact"/>
        <w:rPr>
          <w:sz w:val="20"/>
          <w:szCs w:val="20"/>
          <w:color w:val="auto"/>
        </w:rPr>
      </w:pPr>
    </w:p>
    <w:p>
      <w:pPr>
        <w:ind w:left="1140" w:hanging="113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140" w:right="5800" w:hanging="1132"/>
        <w:spacing w:after="0" w:line="52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387" w:lineRule="exact"/>
        <w:rPr>
          <w:sz w:val="20"/>
          <w:szCs w:val="20"/>
          <w:color w:val="auto"/>
        </w:rPr>
      </w:pPr>
    </w:p>
    <w:p>
      <w:pPr>
        <w:ind w:left="1140" w:right="7620" w:hanging="1132"/>
        <w:spacing w:after="0" w:line="500"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140" w:right="7340" w:hanging="1132"/>
        <w:spacing w:after="0" w:line="500"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VOTING POWER 1,967,500</w:t>
      </w:r>
    </w:p>
    <w:p>
      <w:pPr>
        <w:spacing w:after="0" w:line="1" w:lineRule="exact"/>
        <w:rPr>
          <w:rFonts w:ascii="Arial" w:cs="Arial" w:eastAsia="Arial" w:hAnsi="Arial"/>
          <w:sz w:val="18"/>
          <w:szCs w:val="18"/>
          <w:color w:val="auto"/>
        </w:rPr>
      </w:pPr>
    </w:p>
    <w:p>
      <w:pPr>
        <w:ind w:left="1140" w:right="7220" w:hanging="1132"/>
        <w:spacing w:after="0" w:line="500"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140" w:right="6940" w:hanging="1132"/>
        <w:spacing w:after="0" w:line="500"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DISPOSITIVE POWER 1,967,500</w:t>
      </w:r>
    </w:p>
    <w:p>
      <w:pPr>
        <w:spacing w:after="0" w:line="1" w:lineRule="exact"/>
        <w:rPr>
          <w:rFonts w:ascii="Arial" w:cs="Arial" w:eastAsia="Arial" w:hAnsi="Arial"/>
          <w:sz w:val="18"/>
          <w:szCs w:val="18"/>
          <w:color w:val="auto"/>
        </w:rPr>
      </w:pPr>
    </w:p>
    <w:p>
      <w:pPr>
        <w:ind w:left="1140" w:right="2920" w:hanging="1132"/>
        <w:spacing w:after="0" w:line="500"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1,967,500</w:t>
      </w:r>
    </w:p>
    <w:p>
      <w:pPr>
        <w:spacing w:after="0" w:line="1" w:lineRule="exact"/>
        <w:rPr>
          <w:rFonts w:ascii="Arial" w:cs="Arial" w:eastAsia="Arial" w:hAnsi="Arial"/>
          <w:sz w:val="18"/>
          <w:szCs w:val="18"/>
          <w:color w:val="auto"/>
        </w:rPr>
      </w:pPr>
    </w:p>
    <w:p>
      <w:pPr>
        <w:ind w:left="1140" w:hanging="113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1140" w:right="4420" w:hanging="1132"/>
        <w:spacing w:after="0" w:line="500"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w:t>
      </w:r>
    </w:p>
    <w:p>
      <w:pPr>
        <w:spacing w:after="0" w:line="1" w:lineRule="exact"/>
        <w:rPr>
          <w:rFonts w:ascii="Arial" w:cs="Arial" w:eastAsia="Arial" w:hAnsi="Arial"/>
          <w:sz w:val="18"/>
          <w:szCs w:val="18"/>
          <w:color w:val="auto"/>
        </w:rPr>
      </w:pPr>
    </w:p>
    <w:p>
      <w:pPr>
        <w:ind w:left="1140" w:right="5140" w:hanging="1132"/>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20" w:top="584" w:right="9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CUSIP No</w:t>
            </w:r>
          </w:p>
        </w:tc>
        <w:tc>
          <w:tcPr>
            <w:tcW w:w="740" w:type="dxa"/>
            <w:vAlign w:val="bottom"/>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G8598Y125</w:t>
            </w:r>
          </w:p>
        </w:tc>
        <w:tc>
          <w:tcPr>
            <w:tcW w:w="5620" w:type="dxa"/>
            <w:vAlign w:val="bottom"/>
          </w:tcPr>
          <w:p>
            <w:pPr>
              <w:spacing w:after="0"/>
              <w:rPr>
                <w:sz w:val="20"/>
                <w:szCs w:val="20"/>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740" w:type="dxa"/>
            <w:vAlign w:val="bottom"/>
          </w:tcPr>
          <w:p>
            <w:pPr>
              <w:ind w:left="180"/>
              <w:spacing w:after="0"/>
              <w:rPr>
                <w:sz w:val="20"/>
                <w:szCs w:val="20"/>
                <w:color w:val="auto"/>
              </w:rPr>
            </w:pPr>
            <w:r>
              <w:rPr>
                <w:rFonts w:ascii="Arial" w:cs="Arial" w:eastAsia="Arial" w:hAnsi="Arial"/>
                <w:sz w:val="18"/>
                <w:szCs w:val="18"/>
                <w:color w:val="auto"/>
              </w:rPr>
              <w:t>(a).</w:t>
            </w:r>
          </w:p>
        </w:tc>
        <w:tc>
          <w:tcPr>
            <w:tcW w:w="8420" w:type="dxa"/>
            <w:vAlign w:val="bottom"/>
            <w:gridSpan w:val="2"/>
          </w:tcPr>
          <w:p>
            <w:pPr>
              <w:spacing w:after="0"/>
              <w:rPr>
                <w:sz w:val="20"/>
                <w:szCs w:val="20"/>
                <w:color w:val="auto"/>
              </w:rPr>
            </w:pPr>
            <w:r>
              <w:rPr>
                <w:rFonts w:ascii="Arial" w:cs="Arial" w:eastAsia="Arial" w:hAnsi="Arial"/>
                <w:sz w:val="18"/>
                <w:szCs w:val="18"/>
                <w:color w:val="auto"/>
              </w:rPr>
              <w:t>Name of Issuer:</w:t>
            </w:r>
          </w:p>
        </w:tc>
      </w:tr>
      <w:tr>
        <w:trPr>
          <w:trHeight w:val="432"/>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Sustainable Opportunities Acquisition Corp.</w:t>
            </w:r>
          </w:p>
        </w:tc>
      </w:tr>
      <w:tr>
        <w:trPr>
          <w:trHeight w:val="426"/>
        </w:trPr>
        <w:tc>
          <w:tcPr>
            <w:tcW w:w="9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1601 Bryan Street, Suite 4141</w:t>
            </w:r>
          </w:p>
        </w:tc>
      </w:tr>
      <w:tr>
        <w:trPr>
          <w:trHeight w:val="230"/>
        </w:trPr>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Dallas, Texas 75201</w:t>
            </w: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Pr>
          <w:p>
            <w:pPr>
              <w:ind w:left="180"/>
              <w:spacing w:after="0"/>
              <w:rPr>
                <w:sz w:val="20"/>
                <w:szCs w:val="20"/>
                <w:color w:val="auto"/>
              </w:rPr>
            </w:pPr>
            <w:r>
              <w:rPr>
                <w:rFonts w:ascii="Arial" w:cs="Arial" w:eastAsia="Arial" w:hAnsi="Arial"/>
                <w:sz w:val="18"/>
                <w:szCs w:val="18"/>
                <w:color w:val="auto"/>
              </w:rPr>
              <w:t>(a).</w:t>
            </w:r>
          </w:p>
        </w:tc>
        <w:tc>
          <w:tcPr>
            <w:tcW w:w="8420" w:type="dxa"/>
            <w:vAlign w:val="bottom"/>
            <w:gridSpan w:val="2"/>
          </w:tcPr>
          <w:p>
            <w:pPr>
              <w:spacing w:after="0"/>
              <w:rPr>
                <w:sz w:val="20"/>
                <w:szCs w:val="20"/>
                <w:color w:val="auto"/>
              </w:rPr>
            </w:pPr>
            <w:r>
              <w:rPr>
                <w:rFonts w:ascii="Arial" w:cs="Arial" w:eastAsia="Arial" w:hAnsi="Arial"/>
                <w:sz w:val="18"/>
                <w:szCs w:val="18"/>
                <w:color w:val="auto"/>
              </w:rPr>
              <w:t>Name of persons filing:</w:t>
            </w:r>
          </w:p>
        </w:tc>
      </w:tr>
      <w:tr>
        <w:trPr>
          <w:trHeight w:val="418"/>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Vellar Opportunities Fund Master, Ltd.</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Cohen &amp; Company Financial Management, LLC</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Dekania Investors, LLC</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Cohen &amp; Company LLC</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Cohen &amp; Company Inc.</w:t>
            </w:r>
          </w:p>
        </w:tc>
      </w:tr>
      <w:tr>
        <w:trPr>
          <w:trHeight w:val="230"/>
        </w:trPr>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Daniel G. Cohen</w:t>
            </w:r>
          </w:p>
        </w:tc>
      </w:tr>
      <w:tr>
        <w:trPr>
          <w:trHeight w:val="426"/>
        </w:trPr>
        <w:tc>
          <w:tcPr>
            <w:tcW w:w="9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gridSpan w:val="2"/>
          </w:tcPr>
          <w:p>
            <w:pPr>
              <w:spacing w:after="0"/>
              <w:rPr>
                <w:sz w:val="20"/>
                <w:szCs w:val="20"/>
                <w:color w:val="auto"/>
              </w:rPr>
            </w:pPr>
            <w:r>
              <w:rPr>
                <w:rFonts w:ascii="Arial" w:cs="Arial" w:eastAsia="Arial" w:hAnsi="Arial"/>
                <w:sz w:val="18"/>
                <w:szCs w:val="18"/>
                <w:color w:val="auto"/>
              </w:rPr>
              <w:t>Address or principal business office or, if none, residence:</w:t>
            </w:r>
          </w:p>
        </w:tc>
      </w:tr>
      <w:tr>
        <w:trPr>
          <w:trHeight w:val="418"/>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Vellar Opportunities Fund Offshore, Ltd.</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 Mourant Governance Services (Cayman) Limited</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94 Solaris Avenue, Camana Bay</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PO Box 1348</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Grand Cayman KY1-1108</w:t>
            </w:r>
          </w:p>
        </w:tc>
      </w:tr>
      <w:tr>
        <w:trPr>
          <w:trHeight w:val="230"/>
        </w:trPr>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418"/>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Cohen &amp; Company Financial Management, LLC</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3 Columbus Circle, Suite 2400</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New York, New York 10019</w:t>
            </w:r>
          </w:p>
        </w:tc>
      </w:tr>
      <w:tr>
        <w:trPr>
          <w:trHeight w:val="230"/>
        </w:trPr>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418"/>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Dekania Investors, LLC</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3 Columbus Circle, Suite 2400</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New York, New York 10019</w:t>
            </w:r>
          </w:p>
        </w:tc>
      </w:tr>
      <w:tr>
        <w:trPr>
          <w:trHeight w:val="230"/>
        </w:trPr>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418"/>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Cohen &amp; Company LLC</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3 Columbus Circle, Suite 2400</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New York, New York 10019</w:t>
            </w:r>
          </w:p>
        </w:tc>
      </w:tr>
      <w:tr>
        <w:trPr>
          <w:trHeight w:val="230"/>
        </w:trPr>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418"/>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Cohen &amp; Company Inc.</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3 Columbus Circle, Suite 2400</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New York, New York 10019</w:t>
            </w:r>
          </w:p>
        </w:tc>
      </w:tr>
      <w:tr>
        <w:trPr>
          <w:trHeight w:val="230"/>
        </w:trPr>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418"/>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Daniel Cohen</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 Cohen &amp; Company Inc.</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3 Columbus Circle, Suite 2400</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New York, New York 10019</w:t>
            </w:r>
          </w:p>
        </w:tc>
      </w:tr>
      <w:tr>
        <w:trPr>
          <w:trHeight w:val="230"/>
        </w:trPr>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United States</w:t>
            </w:r>
          </w:p>
        </w:tc>
      </w:tr>
      <w:tr>
        <w:trPr>
          <w:trHeight w:val="425"/>
        </w:trPr>
        <w:tc>
          <w:tcPr>
            <w:tcW w:w="9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(c).</w:t>
            </w:r>
          </w:p>
        </w:tc>
        <w:tc>
          <w:tcPr>
            <w:tcW w:w="8420" w:type="dxa"/>
            <w:vAlign w:val="bottom"/>
            <w:gridSpan w:val="2"/>
          </w:tcPr>
          <w:p>
            <w:pPr>
              <w:spacing w:after="0"/>
              <w:rPr>
                <w:sz w:val="20"/>
                <w:szCs w:val="20"/>
                <w:color w:val="auto"/>
              </w:rPr>
            </w:pPr>
            <w:r>
              <w:rPr>
                <w:rFonts w:ascii="Arial" w:cs="Arial" w:eastAsia="Arial" w:hAnsi="Arial"/>
                <w:sz w:val="18"/>
                <w:szCs w:val="18"/>
                <w:color w:val="auto"/>
              </w:rPr>
              <w:t>Citizenship:</w:t>
            </w:r>
          </w:p>
        </w:tc>
      </w:tr>
      <w:tr>
        <w:trPr>
          <w:trHeight w:val="418"/>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Vellar Opportunities Fund Master, Ltd. – Cayman Islands</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Cohen &amp; Company Financial Management, LLC – Delaware, United States</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Dekania Investors, LLC – Delaware, United States</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Cohen &amp; Company LLC – Delaware, United States</w:t>
            </w:r>
          </w:p>
        </w:tc>
      </w:t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Cohen &amp; Company Inc. – Delaware, United States</w:t>
            </w:r>
          </w:p>
        </w:tc>
      </w:tr>
      <w:tr>
        <w:trPr>
          <w:trHeight w:val="230"/>
        </w:trPr>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Daniel G. Cohen – United States</w:t>
            </w:r>
          </w:p>
        </w:tc>
      </w:tr>
      <w:tr>
        <w:trPr>
          <w:trHeight w:val="426"/>
        </w:trPr>
        <w:tc>
          <w:tcPr>
            <w:tcW w:w="9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(d).</w:t>
            </w:r>
          </w:p>
        </w:tc>
        <w:tc>
          <w:tcPr>
            <w:tcW w:w="842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Class A Ordinary Shares, par value $0.0001 per share</w:t>
            </w:r>
          </w:p>
        </w:tc>
      </w:tr>
      <w:tr>
        <w:trPr>
          <w:trHeight w:val="425"/>
        </w:trPr>
        <w:tc>
          <w:tcPr>
            <w:tcW w:w="9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(e).</w:t>
            </w:r>
          </w:p>
        </w:tc>
        <w:tc>
          <w:tcPr>
            <w:tcW w:w="8420" w:type="dxa"/>
            <w:vAlign w:val="bottom"/>
            <w:gridSpan w:val="2"/>
          </w:tcPr>
          <w:p>
            <w:pPr>
              <w:spacing w:after="0"/>
              <w:rPr>
                <w:sz w:val="20"/>
                <w:szCs w:val="20"/>
                <w:color w:val="auto"/>
              </w:rPr>
            </w:pPr>
            <w:r>
              <w:rPr>
                <w:rFonts w:ascii="Arial" w:cs="Arial" w:eastAsia="Arial" w:hAnsi="Arial"/>
                <w:sz w:val="18"/>
                <w:szCs w:val="18"/>
                <w:color w:val="auto"/>
              </w:rPr>
              <w:t>CUSIP No.:</w:t>
            </w:r>
          </w:p>
        </w:tc>
      </w:tr>
      <w:tr>
        <w:trPr>
          <w:trHeight w:val="418"/>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4"/>
              </w:rPr>
              <w:t>The Class A Ordinary Shares have no CUSIP number. The CUSIP number for the units that include the Class A</w:t>
            </w:r>
          </w:p>
        </w:tc>
      </w:tr>
      <w:tr>
        <w:trPr>
          <w:trHeight w:val="230"/>
        </w:trPr>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Ordinary Shares is G8598Y125.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84" w:right="1440" w:bottom="15" w:gutter="0" w:footer="0" w:header="0"/>
        </w:sectPr>
      </w:pPr>
    </w:p>
    <w:bookmarkStart w:id="8" w:name="page9"/>
    <w:bookmarkEnd w:id="8"/>
    <w:p>
      <w:pPr>
        <w:spacing w:after="0"/>
        <w:tabs>
          <w:tab w:leader="none" w:pos="16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25" w:lineRule="exact"/>
        <w:rPr>
          <w:sz w:val="20"/>
          <w:szCs w:val="20"/>
          <w:color w:val="auto"/>
        </w:rPr>
      </w:pPr>
    </w:p>
    <w:p>
      <w:pPr>
        <w:ind w:left="1700" w:hanging="558"/>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260" w:right="340" w:hanging="1118"/>
        <w:spacing w:after="0" w:line="277" w:lineRule="auto"/>
        <w:tabs>
          <w:tab w:leader="none" w:pos="17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700" w:hanging="558"/>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2260" w:hanging="1118"/>
        <w:spacing w:after="0" w:line="277" w:lineRule="auto"/>
        <w:tabs>
          <w:tab w:leader="none" w:pos="17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[_]Group, in accordance with §240.13d-1(b)(1)(ii)(K). If filing as a non-U.S. institution in accordance with §240.13d-1(b)(1) (ii)(J),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254635</wp:posOffset>
            </wp:positionV>
            <wp:extent cx="6060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140" w:right="4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Vellar Opportunities Fund Master, Ltd.:</w:t>
      </w:r>
    </w:p>
    <w:p>
      <w:pPr>
        <w:spacing w:after="0" w:line="225" w:lineRule="exact"/>
        <w:rPr>
          <w:sz w:val="20"/>
          <w:szCs w:val="20"/>
          <w:color w:val="auto"/>
        </w:rPr>
      </w:pPr>
    </w:p>
    <w:p>
      <w:pPr>
        <w:ind w:left="1700" w:right="7340" w:hanging="558"/>
        <w:spacing w:after="0" w:line="508" w:lineRule="auto"/>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beneficially owned: 1,967,500</w:t>
      </w:r>
    </w:p>
    <w:p>
      <w:pPr>
        <w:spacing w:after="0" w:line="1" w:lineRule="exact"/>
        <w:rPr>
          <w:rFonts w:ascii="Arial" w:cs="Arial" w:eastAsia="Arial" w:hAnsi="Arial"/>
          <w:sz w:val="18"/>
          <w:szCs w:val="18"/>
          <w:color w:val="auto"/>
        </w:rPr>
      </w:pPr>
    </w:p>
    <w:p>
      <w:pPr>
        <w:ind w:left="1700" w:right="8220" w:hanging="558"/>
        <w:spacing w:after="0" w:line="527" w:lineRule="auto"/>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-713105</wp:posOffset>
            </wp:positionV>
            <wp:extent cx="6060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-156210</wp:posOffset>
            </wp:positionV>
            <wp:extent cx="6060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9" w:name="page10"/>
    <w:bookmarkEnd w:id="9"/>
    <w:p>
      <w:pPr>
        <w:ind w:left="1700" w:hanging="558"/>
        <w:spacing w:after="0"/>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6320" w:type="dxa"/>
            <w:vAlign w:val="bottom"/>
          </w:tcPr>
          <w:p>
            <w:pPr>
              <w:ind w:left="160"/>
              <w:spacing w:after="0"/>
              <w:rPr>
                <w:sz w:val="20"/>
                <w:szCs w:val="20"/>
                <w:color w:val="auto"/>
              </w:rPr>
            </w:pPr>
            <w:r>
              <w:rPr>
                <w:rFonts w:ascii="Arial" w:cs="Arial" w:eastAsia="Arial" w:hAnsi="Arial"/>
                <w:sz w:val="18"/>
                <w:szCs w:val="18"/>
                <w:color w:val="auto"/>
              </w:rPr>
              <w:t>Sole power to vote or to direct the vote</w:t>
            </w:r>
          </w:p>
        </w:tc>
        <w:tc>
          <w:tcPr>
            <w:tcW w:w="2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0</w:t>
            </w: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6320" w:type="dxa"/>
            <w:vAlign w:val="bottom"/>
          </w:tcPr>
          <w:p>
            <w:pPr>
              <w:ind w:left="160"/>
              <w:spacing w:after="0"/>
              <w:rPr>
                <w:sz w:val="20"/>
                <w:szCs w:val="20"/>
                <w:color w:val="auto"/>
              </w:rPr>
            </w:pPr>
            <w:r>
              <w:rPr>
                <w:rFonts w:ascii="Arial" w:cs="Arial" w:eastAsia="Arial" w:hAnsi="Arial"/>
                <w:sz w:val="18"/>
                <w:szCs w:val="18"/>
                <w:color w:val="auto"/>
              </w:rPr>
              <w:t>Shared power to vote or to direct the vote</w:t>
            </w:r>
          </w:p>
        </w:tc>
        <w:tc>
          <w:tcPr>
            <w:tcW w:w="2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1,967,500</w:t>
            </w:r>
          </w:p>
        </w:tc>
      </w:tr>
      <w:tr>
        <w:trPr>
          <w:trHeight w:val="425"/>
        </w:trPr>
        <w:tc>
          <w:tcPr>
            <w:tcW w:w="420" w:type="dxa"/>
            <w:vAlign w:val="bottom"/>
          </w:tcPr>
          <w:p>
            <w:pPr>
              <w:spacing w:after="0"/>
              <w:rPr>
                <w:sz w:val="20"/>
                <w:szCs w:val="20"/>
                <w:color w:val="auto"/>
              </w:rPr>
            </w:pPr>
            <w:r>
              <w:rPr>
                <w:rFonts w:ascii="Arial" w:cs="Arial" w:eastAsia="Arial" w:hAnsi="Arial"/>
                <w:sz w:val="18"/>
                <w:szCs w:val="18"/>
                <w:color w:val="auto"/>
              </w:rPr>
              <w:t>(iii)</w:t>
            </w:r>
          </w:p>
        </w:tc>
        <w:tc>
          <w:tcPr>
            <w:tcW w:w="6320" w:type="dxa"/>
            <w:vAlign w:val="bottom"/>
          </w:tcPr>
          <w:p>
            <w:pPr>
              <w:ind w:left="160"/>
              <w:spacing w:after="0"/>
              <w:rPr>
                <w:sz w:val="20"/>
                <w:szCs w:val="20"/>
                <w:color w:val="auto"/>
              </w:rPr>
            </w:pPr>
            <w:r>
              <w:rPr>
                <w:rFonts w:ascii="Arial" w:cs="Arial" w:eastAsia="Arial" w:hAnsi="Arial"/>
                <w:sz w:val="18"/>
                <w:szCs w:val="18"/>
                <w:color w:val="auto"/>
              </w:rPr>
              <w:t>Sole power to dispose or to direct the disposition of</w:t>
            </w:r>
          </w:p>
        </w:tc>
        <w:tc>
          <w:tcPr>
            <w:tcW w:w="2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0</w:t>
            </w: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(iv)</w:t>
            </w:r>
          </w:p>
        </w:tc>
        <w:tc>
          <w:tcPr>
            <w:tcW w:w="6320" w:type="dxa"/>
            <w:vAlign w:val="bottom"/>
          </w:tcPr>
          <w:p>
            <w:pPr>
              <w:ind w:left="160"/>
              <w:spacing w:after="0"/>
              <w:rPr>
                <w:sz w:val="20"/>
                <w:szCs w:val="20"/>
                <w:color w:val="auto"/>
              </w:rPr>
            </w:pPr>
            <w:r>
              <w:rPr>
                <w:rFonts w:ascii="Arial" w:cs="Arial" w:eastAsia="Arial" w:hAnsi="Arial"/>
                <w:sz w:val="18"/>
                <w:szCs w:val="18"/>
                <w:color w:val="auto"/>
              </w:rPr>
              <w:t>Shared power to dispose or to direct the disposition of</w:t>
            </w:r>
          </w:p>
        </w:tc>
        <w:tc>
          <w:tcPr>
            <w:tcW w:w="2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1,967,500.</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700" w:right="7480" w:hanging="558"/>
        <w:spacing w:after="0" w:line="508" w:lineRule="auto"/>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beneficially owned: 1,967,500</w:t>
      </w:r>
    </w:p>
    <w:p>
      <w:pPr>
        <w:spacing w:after="0" w:line="1" w:lineRule="exact"/>
        <w:rPr>
          <w:rFonts w:ascii="Arial" w:cs="Arial" w:eastAsia="Arial" w:hAnsi="Arial"/>
          <w:sz w:val="18"/>
          <w:szCs w:val="18"/>
          <w:color w:val="auto"/>
        </w:rPr>
      </w:pPr>
    </w:p>
    <w:p>
      <w:pPr>
        <w:ind w:left="1700" w:hanging="558"/>
        <w:spacing w:after="0"/>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6.6%</w:t>
      </w:r>
    </w:p>
    <w:p>
      <w:pPr>
        <w:spacing w:after="0" w:line="238" w:lineRule="exact"/>
        <w:rPr>
          <w:rFonts w:ascii="Arial" w:cs="Arial" w:eastAsia="Arial" w:hAnsi="Arial"/>
          <w:sz w:val="18"/>
          <w:szCs w:val="18"/>
          <w:color w:val="auto"/>
        </w:rPr>
      </w:pPr>
    </w:p>
    <w:p>
      <w:pPr>
        <w:ind w:left="1700" w:hanging="558"/>
        <w:spacing w:after="0"/>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-824865</wp:posOffset>
            </wp:positionV>
            <wp:extent cx="6060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-267335</wp:posOffset>
            </wp:positionV>
            <wp:extent cx="60604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ind w:left="1700"/>
              <w:spacing w:after="0"/>
              <w:rPr>
                <w:sz w:val="20"/>
                <w:szCs w:val="20"/>
                <w:color w:val="auto"/>
              </w:rPr>
            </w:pPr>
            <w:r>
              <w:rPr>
                <w:rFonts w:ascii="Arial" w:cs="Arial" w:eastAsia="Arial" w:hAnsi="Arial"/>
                <w:sz w:val="18"/>
                <w:szCs w:val="18"/>
                <w:color w:val="auto"/>
              </w:rPr>
              <w:t>(i)</w:t>
            </w:r>
          </w:p>
        </w:tc>
        <w:tc>
          <w:tcPr>
            <w:tcW w:w="6320" w:type="dxa"/>
            <w:vAlign w:val="bottom"/>
          </w:tcPr>
          <w:p>
            <w:pPr>
              <w:ind w:left="160"/>
              <w:spacing w:after="0"/>
              <w:rPr>
                <w:sz w:val="20"/>
                <w:szCs w:val="20"/>
                <w:color w:val="auto"/>
              </w:rPr>
            </w:pPr>
            <w:r>
              <w:rPr>
                <w:rFonts w:ascii="Arial" w:cs="Arial" w:eastAsia="Arial" w:hAnsi="Arial"/>
                <w:sz w:val="18"/>
                <w:szCs w:val="18"/>
                <w:color w:val="auto"/>
              </w:rPr>
              <w:t>Sole power to vote or to direct the vote</w:t>
            </w:r>
          </w:p>
        </w:tc>
        <w:tc>
          <w:tcPr>
            <w:tcW w:w="28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0</w:t>
            </w:r>
          </w:p>
        </w:tc>
      </w:tr>
      <w:tr>
        <w:trPr>
          <w:trHeight w:val="425"/>
        </w:trPr>
        <w:tc>
          <w:tcPr>
            <w:tcW w:w="2120" w:type="dxa"/>
            <w:vAlign w:val="bottom"/>
          </w:tcPr>
          <w:p>
            <w:pPr>
              <w:ind w:left="1700"/>
              <w:spacing w:after="0"/>
              <w:rPr>
                <w:sz w:val="20"/>
                <w:szCs w:val="20"/>
                <w:color w:val="auto"/>
              </w:rPr>
            </w:pPr>
            <w:r>
              <w:rPr>
                <w:rFonts w:ascii="Arial" w:cs="Arial" w:eastAsia="Arial" w:hAnsi="Arial"/>
                <w:sz w:val="18"/>
                <w:szCs w:val="18"/>
                <w:color w:val="auto"/>
              </w:rPr>
              <w:t>(ii)</w:t>
            </w:r>
          </w:p>
        </w:tc>
        <w:tc>
          <w:tcPr>
            <w:tcW w:w="6320" w:type="dxa"/>
            <w:vAlign w:val="bottom"/>
          </w:tcPr>
          <w:p>
            <w:pPr>
              <w:ind w:left="160"/>
              <w:spacing w:after="0"/>
              <w:rPr>
                <w:sz w:val="20"/>
                <w:szCs w:val="20"/>
                <w:color w:val="auto"/>
              </w:rPr>
            </w:pPr>
            <w:r>
              <w:rPr>
                <w:rFonts w:ascii="Arial" w:cs="Arial" w:eastAsia="Arial" w:hAnsi="Arial"/>
                <w:sz w:val="18"/>
                <w:szCs w:val="18"/>
                <w:color w:val="auto"/>
              </w:rPr>
              <w:t>Shared power to vote or to direct the vote</w:t>
            </w:r>
          </w:p>
        </w:tc>
        <w:tc>
          <w:tcPr>
            <w:tcW w:w="28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1,967,500</w:t>
            </w:r>
          </w:p>
        </w:tc>
      </w:tr>
      <w:tr>
        <w:trPr>
          <w:trHeight w:val="426"/>
        </w:trPr>
        <w:tc>
          <w:tcPr>
            <w:tcW w:w="2120" w:type="dxa"/>
            <w:vAlign w:val="bottom"/>
          </w:tcPr>
          <w:p>
            <w:pPr>
              <w:ind w:left="1700"/>
              <w:spacing w:after="0"/>
              <w:rPr>
                <w:sz w:val="20"/>
                <w:szCs w:val="20"/>
                <w:color w:val="auto"/>
              </w:rPr>
            </w:pPr>
            <w:r>
              <w:rPr>
                <w:rFonts w:ascii="Arial" w:cs="Arial" w:eastAsia="Arial" w:hAnsi="Arial"/>
                <w:sz w:val="18"/>
                <w:szCs w:val="18"/>
                <w:color w:val="auto"/>
              </w:rPr>
              <w:t>(iii)</w:t>
            </w:r>
          </w:p>
        </w:tc>
        <w:tc>
          <w:tcPr>
            <w:tcW w:w="6320" w:type="dxa"/>
            <w:vAlign w:val="bottom"/>
          </w:tcPr>
          <w:p>
            <w:pPr>
              <w:ind w:left="160"/>
              <w:spacing w:after="0"/>
              <w:rPr>
                <w:sz w:val="20"/>
                <w:szCs w:val="20"/>
                <w:color w:val="auto"/>
              </w:rPr>
            </w:pPr>
            <w:r>
              <w:rPr>
                <w:rFonts w:ascii="Arial" w:cs="Arial" w:eastAsia="Arial" w:hAnsi="Arial"/>
                <w:sz w:val="18"/>
                <w:szCs w:val="18"/>
                <w:color w:val="auto"/>
              </w:rPr>
              <w:t>Sole power to dispose or to direct the disposition of</w:t>
            </w:r>
          </w:p>
        </w:tc>
        <w:tc>
          <w:tcPr>
            <w:tcW w:w="28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0</w:t>
            </w:r>
          </w:p>
        </w:tc>
      </w:tr>
      <w:tr>
        <w:trPr>
          <w:trHeight w:val="425"/>
        </w:trPr>
        <w:tc>
          <w:tcPr>
            <w:tcW w:w="2120" w:type="dxa"/>
            <w:vAlign w:val="bottom"/>
          </w:tcPr>
          <w:p>
            <w:pPr>
              <w:ind w:left="1700"/>
              <w:spacing w:after="0"/>
              <w:rPr>
                <w:sz w:val="20"/>
                <w:szCs w:val="20"/>
                <w:color w:val="auto"/>
              </w:rPr>
            </w:pPr>
            <w:r>
              <w:rPr>
                <w:rFonts w:ascii="Arial" w:cs="Arial" w:eastAsia="Arial" w:hAnsi="Arial"/>
                <w:sz w:val="18"/>
                <w:szCs w:val="18"/>
                <w:color w:val="auto"/>
              </w:rPr>
              <w:t>(iv)</w:t>
            </w:r>
          </w:p>
        </w:tc>
        <w:tc>
          <w:tcPr>
            <w:tcW w:w="6320" w:type="dxa"/>
            <w:vAlign w:val="bottom"/>
          </w:tcPr>
          <w:p>
            <w:pPr>
              <w:ind w:left="160"/>
              <w:spacing w:after="0"/>
              <w:rPr>
                <w:sz w:val="20"/>
                <w:szCs w:val="20"/>
                <w:color w:val="auto"/>
              </w:rPr>
            </w:pPr>
            <w:r>
              <w:rPr>
                <w:rFonts w:ascii="Arial" w:cs="Arial" w:eastAsia="Arial" w:hAnsi="Arial"/>
                <w:sz w:val="18"/>
                <w:szCs w:val="18"/>
                <w:color w:val="auto"/>
              </w:rPr>
              <w:t>Shared power to dispose or to direct the disposition of</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1,967,500.</w:t>
            </w:r>
          </w:p>
        </w:tc>
      </w:tr>
      <w:tr>
        <w:trPr>
          <w:trHeight w:val="216"/>
        </w:trPr>
        <w:tc>
          <w:tcPr>
            <w:tcW w:w="21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57"/>
        </w:trPr>
        <w:tc>
          <w:tcPr>
            <w:tcW w:w="2120" w:type="dxa"/>
            <w:vAlign w:val="bottom"/>
            <w:tcBorders>
              <w:bottom w:val="single" w:sz="8" w:color="auto"/>
            </w:tcBorders>
          </w:tcPr>
          <w:p>
            <w:pPr>
              <w:spacing w:after="0"/>
              <w:rPr>
                <w:sz w:val="22"/>
                <w:szCs w:val="22"/>
                <w:color w:val="auto"/>
              </w:rPr>
            </w:pPr>
          </w:p>
        </w:tc>
        <w:tc>
          <w:tcPr>
            <w:tcW w:w="63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80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Dekania Investors, LLC.:</w:t>
      </w:r>
    </w:p>
    <w:p>
      <w:pPr>
        <w:spacing w:after="0" w:line="225" w:lineRule="exact"/>
        <w:rPr>
          <w:sz w:val="20"/>
          <w:szCs w:val="20"/>
          <w:color w:val="auto"/>
        </w:rPr>
      </w:pPr>
    </w:p>
    <w:p>
      <w:pPr>
        <w:ind w:left="1680" w:right="7500" w:hanging="562"/>
        <w:spacing w:after="0" w:line="508" w:lineRule="auto"/>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beneficially owned: 1,967,500</w:t>
      </w:r>
    </w:p>
    <w:p>
      <w:pPr>
        <w:spacing w:after="0" w:line="1" w:lineRule="exact"/>
        <w:rPr>
          <w:rFonts w:ascii="Arial" w:cs="Arial" w:eastAsia="Arial" w:hAnsi="Arial"/>
          <w:sz w:val="18"/>
          <w:szCs w:val="18"/>
          <w:color w:val="auto"/>
        </w:rPr>
      </w:pPr>
    </w:p>
    <w:p>
      <w:pPr>
        <w:ind w:left="1680" w:hanging="562"/>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color w:val="auto"/>
        </w:rPr>
        <w:t>6.6%</w:t>
      </w:r>
    </w:p>
    <w:p>
      <w:pPr>
        <w:spacing w:after="0" w:line="238" w:lineRule="exact"/>
        <w:rPr>
          <w:rFonts w:ascii="Arial" w:cs="Arial" w:eastAsia="Arial" w:hAnsi="Arial"/>
          <w:sz w:val="18"/>
          <w:szCs w:val="18"/>
          <w:color w:val="auto"/>
        </w:rPr>
      </w:pPr>
    </w:p>
    <w:p>
      <w:pPr>
        <w:ind w:left="1680" w:hanging="562"/>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-824865</wp:posOffset>
            </wp:positionV>
            <wp:extent cx="61290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-267335</wp:posOffset>
            </wp:positionV>
            <wp:extent cx="6129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05"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6580" w:type="dxa"/>
            <w:vAlign w:val="bottom"/>
          </w:tcPr>
          <w:p>
            <w:pPr>
              <w:ind w:left="160"/>
              <w:spacing w:after="0"/>
              <w:rPr>
                <w:sz w:val="20"/>
                <w:szCs w:val="20"/>
                <w:color w:val="auto"/>
              </w:rPr>
            </w:pPr>
            <w:r>
              <w:rPr>
                <w:rFonts w:ascii="Arial" w:cs="Arial" w:eastAsia="Arial" w:hAnsi="Arial"/>
                <w:sz w:val="18"/>
                <w:szCs w:val="18"/>
                <w:color w:val="auto"/>
              </w:rPr>
              <w:t>Sole power to vote or to direct the vote</w:t>
            </w:r>
          </w:p>
        </w:tc>
        <w:tc>
          <w:tcPr>
            <w:tcW w:w="2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6580" w:type="dxa"/>
            <w:vAlign w:val="bottom"/>
          </w:tcPr>
          <w:p>
            <w:pPr>
              <w:ind w:left="160"/>
              <w:spacing w:after="0"/>
              <w:rPr>
                <w:sz w:val="20"/>
                <w:szCs w:val="20"/>
                <w:color w:val="auto"/>
              </w:rPr>
            </w:pPr>
            <w:r>
              <w:rPr>
                <w:rFonts w:ascii="Arial" w:cs="Arial" w:eastAsia="Arial" w:hAnsi="Arial"/>
                <w:sz w:val="18"/>
                <w:szCs w:val="18"/>
                <w:color w:val="auto"/>
              </w:rPr>
              <w:t>Shared power to vote or to direct the vote</w:t>
            </w:r>
          </w:p>
        </w:tc>
        <w:tc>
          <w:tcPr>
            <w:tcW w:w="2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1,967,500</w:t>
            </w: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(iii)</w:t>
            </w:r>
          </w:p>
        </w:tc>
        <w:tc>
          <w:tcPr>
            <w:tcW w:w="6580" w:type="dxa"/>
            <w:vAlign w:val="bottom"/>
          </w:tcPr>
          <w:p>
            <w:pPr>
              <w:ind w:left="160"/>
              <w:spacing w:after="0"/>
              <w:rPr>
                <w:sz w:val="20"/>
                <w:szCs w:val="20"/>
                <w:color w:val="auto"/>
              </w:rPr>
            </w:pPr>
            <w:r>
              <w:rPr>
                <w:rFonts w:ascii="Arial" w:cs="Arial" w:eastAsia="Arial" w:hAnsi="Arial"/>
                <w:sz w:val="18"/>
                <w:szCs w:val="18"/>
                <w:color w:val="auto"/>
              </w:rPr>
              <w:t>Sole power to dispose or to direct the disposition of</w:t>
            </w:r>
          </w:p>
        </w:tc>
        <w:tc>
          <w:tcPr>
            <w:tcW w:w="2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r>
      <w:tr>
        <w:trPr>
          <w:trHeight w:val="425"/>
        </w:trPr>
        <w:tc>
          <w:tcPr>
            <w:tcW w:w="420" w:type="dxa"/>
            <w:vAlign w:val="bottom"/>
          </w:tcPr>
          <w:p>
            <w:pPr>
              <w:spacing w:after="0"/>
              <w:rPr>
                <w:sz w:val="20"/>
                <w:szCs w:val="20"/>
                <w:color w:val="auto"/>
              </w:rPr>
            </w:pPr>
            <w:r>
              <w:rPr>
                <w:rFonts w:ascii="Arial" w:cs="Arial" w:eastAsia="Arial" w:hAnsi="Arial"/>
                <w:sz w:val="18"/>
                <w:szCs w:val="18"/>
                <w:color w:val="auto"/>
              </w:rPr>
              <w:t>(iv)</w:t>
            </w:r>
          </w:p>
        </w:tc>
        <w:tc>
          <w:tcPr>
            <w:tcW w:w="6580" w:type="dxa"/>
            <w:vAlign w:val="bottom"/>
          </w:tcPr>
          <w:p>
            <w:pPr>
              <w:ind w:left="160"/>
              <w:spacing w:after="0"/>
              <w:rPr>
                <w:sz w:val="20"/>
                <w:szCs w:val="20"/>
                <w:color w:val="auto"/>
              </w:rPr>
            </w:pPr>
            <w:r>
              <w:rPr>
                <w:rFonts w:ascii="Arial" w:cs="Arial" w:eastAsia="Arial" w:hAnsi="Arial"/>
                <w:sz w:val="18"/>
                <w:szCs w:val="18"/>
                <w:color w:val="auto"/>
              </w:rPr>
              <w:t>Shared power to dispose or to direct the disposition of</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1,967,500  .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137160</wp:posOffset>
            </wp:positionV>
            <wp:extent cx="14230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80" w:right="7500" w:hanging="562"/>
        <w:spacing w:after="0" w:line="508" w:lineRule="auto"/>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beneficially owned: 1,967,500</w:t>
      </w:r>
    </w:p>
    <w:p>
      <w:pPr>
        <w:spacing w:after="0" w:line="1" w:lineRule="exact"/>
        <w:rPr>
          <w:rFonts w:ascii="Arial" w:cs="Arial" w:eastAsia="Arial" w:hAnsi="Arial"/>
          <w:sz w:val="18"/>
          <w:szCs w:val="18"/>
          <w:color w:val="auto"/>
        </w:rPr>
      </w:pPr>
    </w:p>
    <w:p>
      <w:pPr>
        <w:ind w:left="1680" w:hanging="562"/>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color w:val="auto"/>
        </w:rPr>
        <w:t>6.6%</w:t>
      </w:r>
    </w:p>
    <w:p>
      <w:pPr>
        <w:spacing w:after="0" w:line="238" w:lineRule="exact"/>
        <w:rPr>
          <w:rFonts w:ascii="Arial" w:cs="Arial" w:eastAsia="Arial" w:hAnsi="Arial"/>
          <w:sz w:val="18"/>
          <w:szCs w:val="18"/>
          <w:color w:val="auto"/>
        </w:rPr>
      </w:pPr>
    </w:p>
    <w:p>
      <w:pPr>
        <w:ind w:left="1680" w:hanging="562"/>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-824865</wp:posOffset>
            </wp:positionV>
            <wp:extent cx="61290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-267335</wp:posOffset>
            </wp:positionV>
            <wp:extent cx="61290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05"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6680" w:type="dxa"/>
            <w:vAlign w:val="bottom"/>
          </w:tcPr>
          <w:p>
            <w:pPr>
              <w:ind w:left="160"/>
              <w:spacing w:after="0"/>
              <w:rPr>
                <w:sz w:val="20"/>
                <w:szCs w:val="20"/>
                <w:color w:val="auto"/>
              </w:rPr>
            </w:pPr>
            <w:r>
              <w:rPr>
                <w:rFonts w:ascii="Arial" w:cs="Arial" w:eastAsia="Arial" w:hAnsi="Arial"/>
                <w:sz w:val="18"/>
                <w:szCs w:val="18"/>
                <w:color w:val="auto"/>
              </w:rPr>
              <w:t>Sole power to vote or to direct the vote</w:t>
            </w:r>
          </w:p>
        </w:tc>
        <w:tc>
          <w:tcPr>
            <w:tcW w:w="2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6680" w:type="dxa"/>
            <w:vAlign w:val="bottom"/>
          </w:tcPr>
          <w:p>
            <w:pPr>
              <w:ind w:left="160"/>
              <w:spacing w:after="0"/>
              <w:rPr>
                <w:sz w:val="20"/>
                <w:szCs w:val="20"/>
                <w:color w:val="auto"/>
              </w:rPr>
            </w:pPr>
            <w:r>
              <w:rPr>
                <w:rFonts w:ascii="Arial" w:cs="Arial" w:eastAsia="Arial" w:hAnsi="Arial"/>
                <w:sz w:val="18"/>
                <w:szCs w:val="18"/>
                <w:color w:val="auto"/>
              </w:rPr>
              <w:t>Shared power to vote or to direct the vote</w:t>
            </w:r>
          </w:p>
        </w:tc>
        <w:tc>
          <w:tcPr>
            <w:tcW w:w="2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1,967,500</w:t>
            </w:r>
          </w:p>
        </w:tc>
      </w:tr>
      <w:tr>
        <w:trPr>
          <w:trHeight w:val="425"/>
        </w:trPr>
        <w:tc>
          <w:tcPr>
            <w:tcW w:w="420" w:type="dxa"/>
            <w:vAlign w:val="bottom"/>
          </w:tcPr>
          <w:p>
            <w:pPr>
              <w:spacing w:after="0"/>
              <w:rPr>
                <w:sz w:val="20"/>
                <w:szCs w:val="20"/>
                <w:color w:val="auto"/>
              </w:rPr>
            </w:pPr>
            <w:r>
              <w:rPr>
                <w:rFonts w:ascii="Arial" w:cs="Arial" w:eastAsia="Arial" w:hAnsi="Arial"/>
                <w:sz w:val="18"/>
                <w:szCs w:val="18"/>
                <w:color w:val="auto"/>
              </w:rPr>
              <w:t>(iii)</w:t>
            </w:r>
          </w:p>
        </w:tc>
        <w:tc>
          <w:tcPr>
            <w:tcW w:w="6680" w:type="dxa"/>
            <w:vAlign w:val="bottom"/>
          </w:tcPr>
          <w:p>
            <w:pPr>
              <w:ind w:left="160"/>
              <w:spacing w:after="0"/>
              <w:rPr>
                <w:sz w:val="20"/>
                <w:szCs w:val="20"/>
                <w:color w:val="auto"/>
              </w:rPr>
            </w:pPr>
            <w:r>
              <w:rPr>
                <w:rFonts w:ascii="Arial" w:cs="Arial" w:eastAsia="Arial" w:hAnsi="Arial"/>
                <w:sz w:val="18"/>
                <w:szCs w:val="18"/>
                <w:color w:val="auto"/>
              </w:rPr>
              <w:t>Sole power to dispose or to direct the disposition of</w:t>
            </w:r>
          </w:p>
        </w:tc>
        <w:tc>
          <w:tcPr>
            <w:tcW w:w="2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r>
      <w:tr>
        <w:trPr>
          <w:trHeight w:val="425"/>
        </w:trPr>
        <w:tc>
          <w:tcPr>
            <w:tcW w:w="420" w:type="dxa"/>
            <w:vAlign w:val="bottom"/>
          </w:tcPr>
          <w:p>
            <w:pPr>
              <w:spacing w:after="0"/>
              <w:rPr>
                <w:sz w:val="20"/>
                <w:szCs w:val="20"/>
                <w:color w:val="auto"/>
              </w:rPr>
            </w:pPr>
            <w:r>
              <w:rPr>
                <w:rFonts w:ascii="Arial" w:cs="Arial" w:eastAsia="Arial" w:hAnsi="Arial"/>
                <w:sz w:val="18"/>
                <w:szCs w:val="18"/>
                <w:color w:val="auto"/>
              </w:rPr>
              <w:t>(iv)</w:t>
            </w:r>
          </w:p>
        </w:tc>
        <w:tc>
          <w:tcPr>
            <w:tcW w:w="6680" w:type="dxa"/>
            <w:vAlign w:val="bottom"/>
          </w:tcPr>
          <w:p>
            <w:pPr>
              <w:ind w:left="160"/>
              <w:spacing w:after="0"/>
              <w:rPr>
                <w:sz w:val="20"/>
                <w:szCs w:val="20"/>
                <w:color w:val="auto"/>
              </w:rPr>
            </w:pPr>
            <w:r>
              <w:rPr>
                <w:rFonts w:ascii="Arial" w:cs="Arial" w:eastAsia="Arial" w:hAnsi="Arial"/>
                <w:sz w:val="18"/>
                <w:szCs w:val="18"/>
                <w:color w:val="auto"/>
              </w:rPr>
              <w:t>Shared power to dispose or to direct the disposition of</w:t>
            </w:r>
          </w:p>
        </w:tc>
        <w:tc>
          <w:tcPr>
            <w:tcW w:w="2460" w:type="dxa"/>
            <w:vAlign w:val="bottom"/>
          </w:tcPr>
          <w:p>
            <w:pPr>
              <w:jc w:val="right"/>
              <w:ind w:right="90"/>
              <w:spacing w:after="0"/>
              <w:rPr>
                <w:sz w:val="20"/>
                <w:szCs w:val="20"/>
                <w:color w:val="auto"/>
              </w:rPr>
            </w:pPr>
            <w:r>
              <w:rPr>
                <w:rFonts w:ascii="Arial" w:cs="Arial" w:eastAsia="Arial" w:hAnsi="Arial"/>
                <w:sz w:val="18"/>
                <w:szCs w:val="18"/>
                <w:color w:val="auto"/>
              </w:rPr>
              <w:t>1,967,500  .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137160</wp:posOffset>
            </wp:positionV>
            <wp:extent cx="13544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Cohen &amp; Company Inc.:</w:t>
      </w:r>
    </w:p>
    <w:p>
      <w:pPr>
        <w:spacing w:after="0" w:line="225" w:lineRule="exact"/>
        <w:rPr>
          <w:sz w:val="20"/>
          <w:szCs w:val="20"/>
          <w:color w:val="auto"/>
        </w:rPr>
      </w:pPr>
    </w:p>
    <w:p>
      <w:pPr>
        <w:ind w:left="1700" w:right="7480" w:hanging="558"/>
        <w:spacing w:after="0" w:line="508" w:lineRule="auto"/>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beneficially owned: 1,967,500</w:t>
      </w:r>
    </w:p>
    <w:p>
      <w:pPr>
        <w:spacing w:after="0" w:line="1" w:lineRule="exact"/>
        <w:rPr>
          <w:rFonts w:ascii="Arial" w:cs="Arial" w:eastAsia="Arial" w:hAnsi="Arial"/>
          <w:sz w:val="18"/>
          <w:szCs w:val="18"/>
          <w:color w:val="auto"/>
        </w:rPr>
      </w:pPr>
    </w:p>
    <w:p>
      <w:pPr>
        <w:ind w:left="1700" w:hanging="558"/>
        <w:spacing w:after="0"/>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6.6%</w:t>
      </w:r>
    </w:p>
    <w:p>
      <w:pPr>
        <w:spacing w:after="0" w:line="238" w:lineRule="exact"/>
        <w:rPr>
          <w:rFonts w:ascii="Arial" w:cs="Arial" w:eastAsia="Arial" w:hAnsi="Arial"/>
          <w:sz w:val="18"/>
          <w:szCs w:val="18"/>
          <w:color w:val="auto"/>
        </w:rPr>
      </w:pPr>
    </w:p>
    <w:p>
      <w:pPr>
        <w:ind w:left="1700" w:hanging="558"/>
        <w:spacing w:after="0"/>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-824865</wp:posOffset>
            </wp:positionV>
            <wp:extent cx="60604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-267335</wp:posOffset>
            </wp:positionV>
            <wp:extent cx="60604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ind w:left="1700"/>
              <w:spacing w:after="0"/>
              <w:rPr>
                <w:sz w:val="20"/>
                <w:szCs w:val="20"/>
                <w:color w:val="auto"/>
              </w:rPr>
            </w:pPr>
            <w:r>
              <w:rPr>
                <w:rFonts w:ascii="Arial" w:cs="Arial" w:eastAsia="Arial" w:hAnsi="Arial"/>
                <w:sz w:val="18"/>
                <w:szCs w:val="18"/>
                <w:color w:val="auto"/>
              </w:rPr>
              <w:t>(i)</w:t>
            </w:r>
          </w:p>
        </w:tc>
        <w:tc>
          <w:tcPr>
            <w:tcW w:w="6320" w:type="dxa"/>
            <w:vAlign w:val="bottom"/>
          </w:tcPr>
          <w:p>
            <w:pPr>
              <w:ind w:left="160"/>
              <w:spacing w:after="0"/>
              <w:rPr>
                <w:sz w:val="20"/>
                <w:szCs w:val="20"/>
                <w:color w:val="auto"/>
              </w:rPr>
            </w:pPr>
            <w:r>
              <w:rPr>
                <w:rFonts w:ascii="Arial" w:cs="Arial" w:eastAsia="Arial" w:hAnsi="Arial"/>
                <w:sz w:val="18"/>
                <w:szCs w:val="18"/>
                <w:color w:val="auto"/>
              </w:rPr>
              <w:t>Sole power to vote or to direct the vote</w:t>
            </w:r>
          </w:p>
        </w:tc>
        <w:tc>
          <w:tcPr>
            <w:tcW w:w="28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0</w:t>
            </w:r>
          </w:p>
        </w:tc>
      </w:tr>
      <w:tr>
        <w:trPr>
          <w:trHeight w:val="425"/>
        </w:trPr>
        <w:tc>
          <w:tcPr>
            <w:tcW w:w="2120" w:type="dxa"/>
            <w:vAlign w:val="bottom"/>
          </w:tcPr>
          <w:p>
            <w:pPr>
              <w:ind w:left="1700"/>
              <w:spacing w:after="0"/>
              <w:rPr>
                <w:sz w:val="20"/>
                <w:szCs w:val="20"/>
                <w:color w:val="auto"/>
              </w:rPr>
            </w:pPr>
            <w:r>
              <w:rPr>
                <w:rFonts w:ascii="Arial" w:cs="Arial" w:eastAsia="Arial" w:hAnsi="Arial"/>
                <w:sz w:val="18"/>
                <w:szCs w:val="18"/>
                <w:color w:val="auto"/>
              </w:rPr>
              <w:t>(ii)</w:t>
            </w:r>
          </w:p>
        </w:tc>
        <w:tc>
          <w:tcPr>
            <w:tcW w:w="6320" w:type="dxa"/>
            <w:vAlign w:val="bottom"/>
          </w:tcPr>
          <w:p>
            <w:pPr>
              <w:ind w:left="160"/>
              <w:spacing w:after="0"/>
              <w:rPr>
                <w:sz w:val="20"/>
                <w:szCs w:val="20"/>
                <w:color w:val="auto"/>
              </w:rPr>
            </w:pPr>
            <w:r>
              <w:rPr>
                <w:rFonts w:ascii="Arial" w:cs="Arial" w:eastAsia="Arial" w:hAnsi="Arial"/>
                <w:sz w:val="18"/>
                <w:szCs w:val="18"/>
                <w:color w:val="auto"/>
              </w:rPr>
              <w:t>Shared power to vote or to direct the vote</w:t>
            </w:r>
          </w:p>
        </w:tc>
        <w:tc>
          <w:tcPr>
            <w:tcW w:w="28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1,967,500</w:t>
            </w:r>
          </w:p>
        </w:tc>
      </w:tr>
      <w:tr>
        <w:trPr>
          <w:trHeight w:val="425"/>
        </w:trPr>
        <w:tc>
          <w:tcPr>
            <w:tcW w:w="2120" w:type="dxa"/>
            <w:vAlign w:val="bottom"/>
          </w:tcPr>
          <w:p>
            <w:pPr>
              <w:ind w:left="1700"/>
              <w:spacing w:after="0"/>
              <w:rPr>
                <w:sz w:val="20"/>
                <w:szCs w:val="20"/>
                <w:color w:val="auto"/>
              </w:rPr>
            </w:pPr>
            <w:r>
              <w:rPr>
                <w:rFonts w:ascii="Arial" w:cs="Arial" w:eastAsia="Arial" w:hAnsi="Arial"/>
                <w:sz w:val="18"/>
                <w:szCs w:val="18"/>
                <w:color w:val="auto"/>
              </w:rPr>
              <w:t>(iii)</w:t>
            </w:r>
          </w:p>
        </w:tc>
        <w:tc>
          <w:tcPr>
            <w:tcW w:w="6320" w:type="dxa"/>
            <w:vAlign w:val="bottom"/>
          </w:tcPr>
          <w:p>
            <w:pPr>
              <w:ind w:left="160"/>
              <w:spacing w:after="0"/>
              <w:rPr>
                <w:sz w:val="20"/>
                <w:szCs w:val="20"/>
                <w:color w:val="auto"/>
              </w:rPr>
            </w:pPr>
            <w:r>
              <w:rPr>
                <w:rFonts w:ascii="Arial" w:cs="Arial" w:eastAsia="Arial" w:hAnsi="Arial"/>
                <w:sz w:val="18"/>
                <w:szCs w:val="18"/>
                <w:color w:val="auto"/>
              </w:rPr>
              <w:t>Sole power to dispose or to direct the disposition of</w:t>
            </w:r>
          </w:p>
        </w:tc>
        <w:tc>
          <w:tcPr>
            <w:tcW w:w="28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0</w:t>
            </w:r>
          </w:p>
        </w:tc>
      </w:tr>
      <w:tr>
        <w:trPr>
          <w:trHeight w:val="425"/>
        </w:trPr>
        <w:tc>
          <w:tcPr>
            <w:tcW w:w="2120" w:type="dxa"/>
            <w:vAlign w:val="bottom"/>
          </w:tcPr>
          <w:p>
            <w:pPr>
              <w:ind w:left="1700"/>
              <w:spacing w:after="0"/>
              <w:rPr>
                <w:sz w:val="20"/>
                <w:szCs w:val="20"/>
                <w:color w:val="auto"/>
              </w:rPr>
            </w:pPr>
            <w:r>
              <w:rPr>
                <w:rFonts w:ascii="Arial" w:cs="Arial" w:eastAsia="Arial" w:hAnsi="Arial"/>
                <w:sz w:val="18"/>
                <w:szCs w:val="18"/>
                <w:color w:val="auto"/>
              </w:rPr>
              <w:t>(iv)</w:t>
            </w:r>
          </w:p>
        </w:tc>
        <w:tc>
          <w:tcPr>
            <w:tcW w:w="6320" w:type="dxa"/>
            <w:vAlign w:val="bottom"/>
          </w:tcPr>
          <w:p>
            <w:pPr>
              <w:ind w:left="160"/>
              <w:spacing w:after="0"/>
              <w:rPr>
                <w:sz w:val="20"/>
                <w:szCs w:val="20"/>
                <w:color w:val="auto"/>
              </w:rPr>
            </w:pPr>
            <w:r>
              <w:rPr>
                <w:rFonts w:ascii="Arial" w:cs="Arial" w:eastAsia="Arial" w:hAnsi="Arial"/>
                <w:sz w:val="18"/>
                <w:szCs w:val="18"/>
                <w:color w:val="auto"/>
              </w:rPr>
              <w:t>Shared power to dispose or to direct the disposition of</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1,967,500.</w:t>
            </w:r>
          </w:p>
        </w:tc>
      </w:tr>
      <w:tr>
        <w:trPr>
          <w:trHeight w:val="216"/>
        </w:trPr>
        <w:tc>
          <w:tcPr>
            <w:tcW w:w="21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534"/>
        </w:trPr>
        <w:tc>
          <w:tcPr>
            <w:tcW w:w="2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Daniel G. Cohen:</w:t>
      </w:r>
    </w:p>
    <w:p>
      <w:pPr>
        <w:spacing w:after="0" w:line="225" w:lineRule="exact"/>
        <w:rPr>
          <w:sz w:val="20"/>
          <w:szCs w:val="20"/>
          <w:color w:val="auto"/>
        </w:rPr>
      </w:pPr>
    </w:p>
    <w:p>
      <w:pPr>
        <w:ind w:left="1700" w:right="7480" w:hanging="558"/>
        <w:spacing w:after="0" w:line="508" w:lineRule="auto"/>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beneficially owned: 1,967,500</w:t>
      </w:r>
    </w:p>
    <w:p>
      <w:pPr>
        <w:spacing w:after="0" w:line="1" w:lineRule="exact"/>
        <w:rPr>
          <w:rFonts w:ascii="Arial" w:cs="Arial" w:eastAsia="Arial" w:hAnsi="Arial"/>
          <w:sz w:val="18"/>
          <w:szCs w:val="18"/>
          <w:color w:val="auto"/>
        </w:rPr>
      </w:pPr>
    </w:p>
    <w:p>
      <w:pPr>
        <w:ind w:left="1700" w:hanging="558"/>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6.6%</w:t>
      </w:r>
    </w:p>
    <w:p>
      <w:pPr>
        <w:spacing w:after="0" w:line="238" w:lineRule="exact"/>
        <w:rPr>
          <w:rFonts w:ascii="Arial" w:cs="Arial" w:eastAsia="Arial" w:hAnsi="Arial"/>
          <w:sz w:val="18"/>
          <w:szCs w:val="18"/>
          <w:color w:val="auto"/>
        </w:rPr>
      </w:pPr>
    </w:p>
    <w:p>
      <w:pPr>
        <w:ind w:left="1700" w:hanging="558"/>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-824865</wp:posOffset>
            </wp:positionV>
            <wp:extent cx="60604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-267335</wp:posOffset>
            </wp:positionV>
            <wp:extent cx="60604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6320" w:type="dxa"/>
            <w:vAlign w:val="bottom"/>
          </w:tcPr>
          <w:p>
            <w:pPr>
              <w:ind w:left="160"/>
              <w:spacing w:after="0"/>
              <w:rPr>
                <w:sz w:val="20"/>
                <w:szCs w:val="20"/>
                <w:color w:val="auto"/>
              </w:rPr>
            </w:pPr>
            <w:r>
              <w:rPr>
                <w:rFonts w:ascii="Arial" w:cs="Arial" w:eastAsia="Arial" w:hAnsi="Arial"/>
                <w:sz w:val="18"/>
                <w:szCs w:val="18"/>
                <w:color w:val="auto"/>
              </w:rPr>
              <w:t>Sole power to vote or to direct the vote</w:t>
            </w:r>
          </w:p>
        </w:tc>
        <w:tc>
          <w:tcPr>
            <w:tcW w:w="28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0</w:t>
            </w: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6320" w:type="dxa"/>
            <w:vAlign w:val="bottom"/>
          </w:tcPr>
          <w:p>
            <w:pPr>
              <w:ind w:left="160"/>
              <w:spacing w:after="0"/>
              <w:rPr>
                <w:sz w:val="20"/>
                <w:szCs w:val="20"/>
                <w:color w:val="auto"/>
              </w:rPr>
            </w:pPr>
            <w:r>
              <w:rPr>
                <w:rFonts w:ascii="Arial" w:cs="Arial" w:eastAsia="Arial" w:hAnsi="Arial"/>
                <w:sz w:val="18"/>
                <w:szCs w:val="18"/>
                <w:color w:val="auto"/>
              </w:rPr>
              <w:t>Shared power to vote or to direct the vote</w:t>
            </w:r>
          </w:p>
        </w:tc>
        <w:tc>
          <w:tcPr>
            <w:tcW w:w="28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1,967,500</w:t>
            </w:r>
          </w:p>
        </w:tc>
      </w:tr>
      <w:tr>
        <w:trPr>
          <w:trHeight w:val="425"/>
        </w:trPr>
        <w:tc>
          <w:tcPr>
            <w:tcW w:w="420" w:type="dxa"/>
            <w:vAlign w:val="bottom"/>
          </w:tcPr>
          <w:p>
            <w:pPr>
              <w:spacing w:after="0"/>
              <w:rPr>
                <w:sz w:val="20"/>
                <w:szCs w:val="20"/>
                <w:color w:val="auto"/>
              </w:rPr>
            </w:pPr>
            <w:r>
              <w:rPr>
                <w:rFonts w:ascii="Arial" w:cs="Arial" w:eastAsia="Arial" w:hAnsi="Arial"/>
                <w:sz w:val="18"/>
                <w:szCs w:val="18"/>
                <w:color w:val="auto"/>
              </w:rPr>
              <w:t>(iii)</w:t>
            </w:r>
          </w:p>
        </w:tc>
        <w:tc>
          <w:tcPr>
            <w:tcW w:w="6320" w:type="dxa"/>
            <w:vAlign w:val="bottom"/>
          </w:tcPr>
          <w:p>
            <w:pPr>
              <w:ind w:left="160"/>
              <w:spacing w:after="0"/>
              <w:rPr>
                <w:sz w:val="20"/>
                <w:szCs w:val="20"/>
                <w:color w:val="auto"/>
              </w:rPr>
            </w:pPr>
            <w:r>
              <w:rPr>
                <w:rFonts w:ascii="Arial" w:cs="Arial" w:eastAsia="Arial" w:hAnsi="Arial"/>
                <w:sz w:val="18"/>
                <w:szCs w:val="18"/>
                <w:color w:val="auto"/>
              </w:rPr>
              <w:t>Sole power to dispose or to direct the disposition of</w:t>
            </w:r>
          </w:p>
        </w:tc>
        <w:tc>
          <w:tcPr>
            <w:tcW w:w="28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0</w:t>
            </w: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(iv)</w:t>
            </w:r>
          </w:p>
        </w:tc>
        <w:tc>
          <w:tcPr>
            <w:tcW w:w="6320" w:type="dxa"/>
            <w:vAlign w:val="bottom"/>
          </w:tcPr>
          <w:p>
            <w:pPr>
              <w:ind w:left="160"/>
              <w:spacing w:after="0"/>
              <w:rPr>
                <w:sz w:val="20"/>
                <w:szCs w:val="20"/>
                <w:color w:val="auto"/>
              </w:rPr>
            </w:pPr>
            <w:r>
              <w:rPr>
                <w:rFonts w:ascii="Arial" w:cs="Arial" w:eastAsia="Arial" w:hAnsi="Arial"/>
                <w:sz w:val="18"/>
                <w:szCs w:val="18"/>
                <w:color w:val="auto"/>
              </w:rPr>
              <w:t>Shared power to dispose or to direct the disposition of</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1,967,500.</w:t>
            </w:r>
          </w:p>
        </w:tc>
      </w:tr>
      <w:tr>
        <w:trPr>
          <w:trHeight w:val="20"/>
        </w:trPr>
        <w:tc>
          <w:tcPr>
            <w:tcW w:w="4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Instruction: For computations regarding securities which represent a right to acquire an underlying security see §240.13d-3(d)(1).</w:t>
      </w: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left="11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-45085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8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Instruction: Dissolution of a group requires a response 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64122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14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140" w:hanging="1133"/>
        <w:spacing w:after="0" w:line="277" w:lineRule="auto"/>
        <w:tabs>
          <w:tab w:leader="none" w:pos="11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1140"/>
        <w:spacing w:after="0" w:line="311" w:lineRule="auto"/>
        <w:rPr>
          <w:sz w:val="20"/>
          <w:szCs w:val="20"/>
          <w:color w:val="auto"/>
        </w:rPr>
      </w:pPr>
      <w:r>
        <w:rPr>
          <w:rFonts w:ascii="Arial" w:cs="Arial" w:eastAsia="Arial" w:hAnsi="Arial"/>
          <w:sz w:val="16"/>
          <w:szCs w:val="16"/>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4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Please 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 w:name="page13"/>
    <w:bookmarkEnd w:id="12"/>
    <w:p>
      <w:pPr>
        <w:spacing w:after="0"/>
        <w:tabs>
          <w:tab w:leader="none" w:pos="11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left="1140" w:hanging="7"/>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140" w:right="140" w:hanging="7"/>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both"/>
        <w:ind w:left="17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May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G. Cohen</w:t>
      </w:r>
    </w:p>
    <w:p>
      <w:pPr>
        <w:spacing w:after="0" w:line="200" w:lineRule="exact"/>
        <w:rPr>
          <w:sz w:val="20"/>
          <w:szCs w:val="20"/>
          <w:color w:val="auto"/>
        </w:rPr>
      </w:pP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Vellar Opportunities Fund Master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Solomon I.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Solomon I. Cohen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Dekania Investors, LLC</w:t>
      </w:r>
    </w:p>
    <w:p>
      <w:pPr>
        <w:spacing w:after="0" w:line="225"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Joseph Pooler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Cohen &amp; Company LLC</w:t>
      </w:r>
    </w:p>
    <w:p>
      <w:pPr>
        <w:spacing w:after="0" w:line="225"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Joseph Pooler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Cohen &amp; Company Financial Management</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Cohen &amp; Company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 Cohen</w:t>
            </w:r>
          </w:p>
        </w:tc>
      </w:tr>
      <w:tr>
        <w:trPr>
          <w:trHeight w:val="195"/>
        </w:trPr>
        <w:tc>
          <w:tcPr>
            <w:tcW w:w="560" w:type="dxa"/>
            <w:vAlign w:val="bottom"/>
          </w:tcPr>
          <w:p>
            <w:pPr>
              <w:spacing w:after="0"/>
              <w:rPr>
                <w:sz w:val="16"/>
                <w:szCs w:val="16"/>
                <w:color w:val="auto"/>
              </w:rPr>
            </w:pP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auto"/>
              </w:rPr>
              <w:t>Name: Daniel G. Cohen</w:t>
            </w:r>
          </w:p>
        </w:tc>
      </w:tr>
      <w:tr>
        <w:trPr>
          <w:trHeight w:val="230"/>
        </w:trPr>
        <w:tc>
          <w:tcPr>
            <w:tcW w:w="56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Title: Chairman of the Board of Directors</w:t>
            </w:r>
          </w:p>
        </w:tc>
      </w:tr>
      <w:tr>
        <w:trPr>
          <w:trHeight w:val="864"/>
        </w:trPr>
        <w:tc>
          <w:tcPr>
            <w:tcW w:w="5600" w:type="dxa"/>
            <w:vAlign w:val="bottom"/>
            <w:gridSpan w:val="3"/>
          </w:tcPr>
          <w:p>
            <w:pPr>
              <w:ind w:left="100"/>
              <w:spacing w:after="0"/>
              <w:rPr>
                <w:sz w:val="20"/>
                <w:szCs w:val="20"/>
                <w:color w:val="auto"/>
              </w:rPr>
            </w:pPr>
            <w:r>
              <w:rPr>
                <w:rFonts w:ascii="Arial" w:cs="Arial" w:eastAsia="Arial" w:hAnsi="Arial"/>
                <w:sz w:val="18"/>
                <w:szCs w:val="18"/>
                <w:color w:val="auto"/>
              </w:rPr>
              <w:t>Cohen &amp; Company Inc.</w:t>
            </w:r>
          </w:p>
        </w:tc>
      </w:tr>
      <w:tr>
        <w:trPr>
          <w:trHeight w:val="486"/>
        </w:trPr>
        <w:tc>
          <w:tcPr>
            <w:tcW w:w="560" w:type="dxa"/>
            <w:vAlign w:val="bottom"/>
          </w:tcPr>
          <w:p>
            <w:pPr>
              <w:ind w:left="100"/>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/s/ Daniel G. Cohen</w:t>
            </w:r>
          </w:p>
        </w:tc>
      </w:tr>
      <w:tr>
        <w:trPr>
          <w:trHeight w:val="195"/>
        </w:trPr>
        <w:tc>
          <w:tcPr>
            <w:tcW w:w="560" w:type="dxa"/>
            <w:vAlign w:val="bottom"/>
          </w:tcPr>
          <w:p>
            <w:pPr>
              <w:spacing w:after="0"/>
              <w:rPr>
                <w:sz w:val="16"/>
                <w:szCs w:val="16"/>
                <w:color w:val="auto"/>
              </w:rPr>
            </w:pPr>
          </w:p>
        </w:tc>
        <w:tc>
          <w:tcPr>
            <w:tcW w:w="39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Name: Daniel G. Cohen</w:t>
            </w:r>
          </w:p>
        </w:tc>
        <w:tc>
          <w:tcPr>
            <w:tcW w:w="1120" w:type="dxa"/>
            <w:vAlign w:val="bottom"/>
          </w:tcPr>
          <w:p>
            <w:pPr>
              <w:spacing w:after="0"/>
              <w:rPr>
                <w:sz w:val="16"/>
                <w:szCs w:val="16"/>
                <w:color w:val="auto"/>
              </w:rPr>
            </w:pPr>
          </w:p>
        </w:tc>
      </w:tr>
      <w:tr>
        <w:trPr>
          <w:trHeight w:val="230"/>
        </w:trPr>
        <w:tc>
          <w:tcPr>
            <w:tcW w:w="560" w:type="dxa"/>
            <w:vAlign w:val="bottom"/>
          </w:tcPr>
          <w:p>
            <w:pPr>
              <w:spacing w:after="0"/>
              <w:rPr>
                <w:sz w:val="20"/>
                <w:szCs w:val="20"/>
                <w:color w:val="auto"/>
              </w:rPr>
            </w:pP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Title: Chairman of the Board of Directors</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undersigned agree that this Schedule 13G dated May 18, 2020 relating to the Class A Ordinary Shares, par value $0.0001 per share of Sustainable Opportunities Acquisition Corp. shall be filed on behalf of the undersigned.</w:t>
      </w:r>
    </w:p>
    <w:p>
      <w:pPr>
        <w:spacing w:after="0" w:line="38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G. Cohen</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Vellar Opportunities Fund Master Ltd.</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Solomon I. Cohen</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Solomon I. Cohen</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2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Dekania Investors, LLC</w:t>
      </w:r>
    </w:p>
    <w:p>
      <w:pPr>
        <w:spacing w:after="0" w:line="225"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Joseph Pooler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Cohen &amp; Company LLC</w:t>
      </w:r>
    </w:p>
    <w:p>
      <w:pPr>
        <w:spacing w:after="0" w:line="225"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Joseph Pooler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5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Cohen &amp; Company Financial Management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Cohen &amp; Company Inc.</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 Cohen</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Daniel G. Cohen</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Chairman of the Board of Directors</w:t>
            </w:r>
          </w:p>
        </w:tc>
      </w:tr>
      <w:tr>
        <w:trPr>
          <w:trHeight w:val="648"/>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Cohen &amp; Company Inc.</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 Cohen</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Daniel G. Cohen</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Chairman of the Board of Directors</w:t>
            </w:r>
          </w:p>
        </w:tc>
      </w:tr>
      <w:tr>
        <w:trPr>
          <w:trHeight w:val="324"/>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Exhibit B</w:t>
      </w:r>
    </w:p>
    <w:p>
      <w:pPr>
        <w:spacing w:after="0" w:line="32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Cohen &amp; Company Financial Management, LLC and Cohen &amp; Company Inc. are the relevant entities for which Mr. Cohen may be considered a 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3"/>
    </w:lvl>
  </w:abstractNum>
  <w:abstractNum w:abstractNumId="2">
    <w:nsid w:val="519B500D"/>
    <w:multiLevelType w:val="hybridMultilevel"/>
    <w:lvl w:ilvl="0">
      <w:lvlJc w:val="left"/>
      <w:lvlText w:val="%1."/>
      <w:numFmt w:val="decimal"/>
      <w:start w:val="5"/>
    </w:lvl>
  </w:abstractNum>
  <w:abstractNum w:abstractNumId="3">
    <w:nsid w:val="431BD7B7"/>
    <w:multiLevelType w:val="hybridMultilevel"/>
    <w:lvl w:ilvl="0">
      <w:lvlJc w:val="left"/>
      <w:lvlText w:val="%1."/>
      <w:numFmt w:val="decimal"/>
      <w:start w:val="1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1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3"/>
    </w:lvl>
  </w:abstractNum>
  <w:abstractNum w:abstractNumId="10">
    <w:nsid w:val="333AB105"/>
    <w:multiLevelType w:val="hybridMultilevel"/>
    <w:lvl w:ilvl="0">
      <w:lvlJc w:val="left"/>
      <w:lvlText w:val="%1."/>
      <w:numFmt w:val="decimal"/>
      <w:start w:val="5"/>
    </w:lvl>
  </w:abstractNum>
  <w:abstractNum w:abstractNumId="11">
    <w:nsid w:val="721DA317"/>
    <w:multiLevelType w:val="hybridMultilevel"/>
    <w:lvl w:ilvl="0">
      <w:lvlJc w:val="left"/>
      <w:lvlText w:val="%1."/>
      <w:numFmt w:val="decimal"/>
      <w:start w:val="1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3"/>
    </w:lvl>
  </w:abstractNum>
  <w:abstractNum w:abstractNumId="14">
    <w:nsid w:val="6763845E"/>
    <w:multiLevelType w:val="hybridMultilevel"/>
    <w:lvl w:ilvl="0">
      <w:lvlJc w:val="left"/>
      <w:lvlText w:val="%1."/>
      <w:numFmt w:val="decimal"/>
      <w:start w:val="5"/>
    </w:lvl>
  </w:abstractNum>
  <w:abstractNum w:abstractNumId="15">
    <w:nsid w:val="75A2A8D4"/>
    <w:multiLevelType w:val="hybridMultilevel"/>
    <w:lvl w:ilvl="0">
      <w:lvlJc w:val="left"/>
      <w:lvlText w:val="%1."/>
      <w:numFmt w:val="decimal"/>
      <w:start w:val="1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3"/>
    </w:lvl>
  </w:abstractNum>
  <w:abstractNum w:abstractNumId="18">
    <w:nsid w:val="4353D0CD"/>
    <w:multiLevelType w:val="hybridMultilevel"/>
    <w:lvl w:ilvl="0">
      <w:lvlJc w:val="left"/>
      <w:lvlText w:val="%1."/>
      <w:numFmt w:val="decimal"/>
      <w:start w:val="5"/>
    </w:lvl>
  </w:abstractNum>
  <w:abstractNum w:abstractNumId="19">
    <w:nsid w:val="B03E0C6"/>
    <w:multiLevelType w:val="hybridMultilevel"/>
    <w:lvl w:ilvl="0">
      <w:lvlJc w:val="left"/>
      <w:lvlText w:val="%1."/>
      <w:numFmt w:val="decimal"/>
      <w:start w:val="1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3"/>
    </w:lvl>
  </w:abstractNum>
  <w:abstractNum w:abstractNumId="22">
    <w:nsid w:val="71F32454"/>
    <w:multiLevelType w:val="hybridMultilevel"/>
    <w:lvl w:ilvl="0">
      <w:lvlJc w:val="left"/>
      <w:lvlText w:val="%1."/>
      <w:numFmt w:val="decimal"/>
      <w:start w:val="5"/>
    </w:lvl>
  </w:abstractNum>
  <w:abstractNum w:abstractNumId="23">
    <w:nsid w:val="2CA88611"/>
    <w:multiLevelType w:val="hybridMultilevel"/>
    <w:lvl w:ilvl="0">
      <w:lvlJc w:val="left"/>
      <w:lvlText w:val="%1."/>
      <w:numFmt w:val="decimal"/>
      <w:start w:val="1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3"/>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2020-05-18T16:30:37Z</dcterms:created>
  <dcterms:modified xsi:type="dcterms:W3CDTF">2020-05-18T16:30:37Z</dcterms:modified>
</cp:coreProperties>
</file>