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13G</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G8598Y125**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[_] Rule 13d-1(b)</w:t>
      </w:r>
    </w:p>
    <w:p>
      <w:pPr>
        <w:spacing w:after="0" w:line="229"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x</w:t>
      </w:r>
      <w:r>
        <w:rPr>
          <w:rFonts w:ascii="Arial" w:cs="Arial" w:eastAsia="Arial" w:hAnsi="Arial"/>
          <w:sz w:val="20"/>
          <w:szCs w:val="20"/>
          <w:color w:val="auto"/>
        </w:rPr>
        <w:t>] Rule 13d-1(c)</w:t>
      </w:r>
    </w:p>
    <w:p>
      <w:pPr>
        <w:spacing w:after="0" w:line="229"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[_] Rule 13d-1(d)</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__________</w:t>
      </w:r>
    </w:p>
    <w:p>
      <w:pPr>
        <w:spacing w:after="0" w:line="16" w:lineRule="exact"/>
        <w:rPr>
          <w:sz w:val="24"/>
          <w:szCs w:val="24"/>
          <w:color w:val="auto"/>
        </w:rPr>
      </w:pPr>
    </w:p>
    <w:p>
      <w:pPr>
        <w:jc w:val="both"/>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**The Class A Ordinary Shares have no CUSIP number. The CUSIP number for the units that include the Class A Ordinary Shares is G8598Y125.</w:t>
      </w:r>
    </w:p>
    <w:p>
      <w:pPr>
        <w:spacing w:after="0" w:line="17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left="1480"/>
        <w:spacing w:after="0"/>
        <w:rPr>
          <w:sz w:val="20"/>
          <w:szCs w:val="20"/>
          <w:color w:val="auto"/>
        </w:rPr>
      </w:pPr>
      <w:r>
        <w:rPr>
          <w:rFonts w:ascii="Arial" w:cs="Arial" w:eastAsia="Arial" w:hAnsi="Arial"/>
          <w:sz w:val="20"/>
          <w:szCs w:val="20"/>
          <w:color w:val="auto"/>
        </w:rPr>
        <w:t>G8598Y125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0</wp:posOffset>
            </wp:positionV>
            <wp:extent cx="1851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900" w:hanging="895"/>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Vellar Opportunities Fund Master, Ltd.</w:t>
      </w:r>
    </w:p>
    <w:p>
      <w:pPr>
        <w:ind w:left="900" w:hanging="895"/>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w:t>
      </w:r>
      <w:r>
        <w:rPr>
          <w:rFonts w:ascii="Arial" w:cs="Arial" w:eastAsia="Arial" w:hAnsi="Arial"/>
          <w:sz w:val="20"/>
          <w:szCs w:val="20"/>
          <w:u w:val="single" w:color="auto"/>
          <w:color w:val="auto"/>
        </w:rPr>
        <w:t>_</w:t>
      </w:r>
      <w:r>
        <w:rPr>
          <w:rFonts w:ascii="Arial" w:cs="Arial" w:eastAsia="Arial" w:hAnsi="Arial"/>
          <w:sz w:val="20"/>
          <w:szCs w:val="20"/>
          <w:color w:val="auto"/>
        </w:rPr>
        <w:t>]</w:t>
      </w:r>
    </w:p>
    <w:p>
      <w:pPr>
        <w:spacing w:after="0" w:line="249" w:lineRule="exact"/>
        <w:rPr>
          <w:sz w:val="20"/>
          <w:szCs w:val="20"/>
          <w:color w:val="auto"/>
        </w:rPr>
      </w:pPr>
    </w:p>
    <w:p>
      <w:pPr>
        <w:ind w:left="900" w:hanging="895"/>
        <w:spacing w:after="0"/>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right="5740" w:hanging="895"/>
        <w:spacing w:after="0" w:line="528" w:lineRule="auto"/>
        <w:tabs>
          <w:tab w:leader="none" w:pos="9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CITIZENSHIP OR PLACE OF ORGANIZATION Cayman Islands</w:t>
      </w:r>
    </w:p>
    <w:p>
      <w:pPr>
        <w:spacing w:after="0" w:line="200" w:lineRule="exact"/>
        <w:rPr>
          <w:sz w:val="20"/>
          <w:szCs w:val="20"/>
          <w:color w:val="auto"/>
        </w:rPr>
      </w:pPr>
    </w:p>
    <w:p>
      <w:pPr>
        <w:spacing w:after="0" w:line="233" w:lineRule="exact"/>
        <w:rPr>
          <w:sz w:val="20"/>
          <w:szCs w:val="20"/>
          <w:color w:val="auto"/>
        </w:rPr>
      </w:pPr>
    </w:p>
    <w:p>
      <w:pPr>
        <w:ind w:left="900" w:right="7720" w:hanging="895"/>
        <w:spacing w:after="0" w:line="507"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VOTING POWER 0</w:t>
      </w:r>
    </w:p>
    <w:p>
      <w:pPr>
        <w:ind w:left="900" w:right="7280" w:hanging="895"/>
        <w:spacing w:after="0" w:line="507"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00" w:right="2560" w:hanging="895"/>
        <w:spacing w:after="0" w:line="500"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00" w:right="1540" w:hanging="895"/>
        <w:spacing w:after="0" w:line="247"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00" w:right="5000" w:hanging="895"/>
        <w:spacing w:after="0" w:line="274"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03" w:right="799" w:bottom="1440" w:gutter="0" w:footer="0" w:header="0"/>
        </w:sectPr>
      </w:pPr>
    </w:p>
    <w:bookmarkStart w:id="2" w:name="page3"/>
    <w:bookmarkEnd w:id="2"/>
    <w:p>
      <w:pPr>
        <w:ind w:left="1580"/>
        <w:spacing w:after="0"/>
        <w:rPr>
          <w:sz w:val="20"/>
          <w:szCs w:val="20"/>
          <w:color w:val="auto"/>
        </w:rPr>
      </w:pPr>
      <w:r>
        <w:rPr>
          <w:rFonts w:ascii="Arial" w:cs="Arial" w:eastAsia="Arial" w:hAnsi="Arial"/>
          <w:sz w:val="20"/>
          <w:szCs w:val="20"/>
          <w:color w:val="auto"/>
        </w:rPr>
        <w:t>G8598Y125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900" w:hanging="895"/>
        <w:spacing w:after="0"/>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Cohen &amp; Company Financial Management, LLC</w:t>
      </w:r>
    </w:p>
    <w:p>
      <w:pPr>
        <w:ind w:left="900" w:hanging="895"/>
        <w:spacing w:after="0"/>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w:t>
      </w:r>
      <w:r>
        <w:rPr>
          <w:rFonts w:ascii="Arial" w:cs="Arial" w:eastAsia="Arial" w:hAnsi="Arial"/>
          <w:sz w:val="20"/>
          <w:szCs w:val="20"/>
          <w:u w:val="single" w:color="auto"/>
          <w:color w:val="auto"/>
        </w:rPr>
        <w:t>_</w:t>
      </w:r>
      <w:r>
        <w:rPr>
          <w:rFonts w:ascii="Arial" w:cs="Arial" w:eastAsia="Arial" w:hAnsi="Arial"/>
          <w:sz w:val="20"/>
          <w:szCs w:val="20"/>
          <w:color w:val="auto"/>
        </w:rPr>
        <w:t>]</w:t>
      </w:r>
    </w:p>
    <w:p>
      <w:pPr>
        <w:spacing w:after="0" w:line="249" w:lineRule="exact"/>
        <w:rPr>
          <w:sz w:val="20"/>
          <w:szCs w:val="20"/>
          <w:color w:val="auto"/>
        </w:rPr>
      </w:pPr>
    </w:p>
    <w:p>
      <w:pPr>
        <w:ind w:left="900" w:hanging="895"/>
        <w:spacing w:after="0"/>
        <w:tabs>
          <w:tab w:leader="none" w:pos="9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right="5740" w:hanging="895"/>
        <w:spacing w:after="0" w:line="528" w:lineRule="auto"/>
        <w:tabs>
          <w:tab w:leader="none" w:pos="9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33" w:lineRule="exact"/>
        <w:rPr>
          <w:sz w:val="20"/>
          <w:szCs w:val="20"/>
          <w:color w:val="auto"/>
        </w:rPr>
      </w:pPr>
    </w:p>
    <w:p>
      <w:pPr>
        <w:ind w:left="900" w:right="7720" w:hanging="895"/>
        <w:spacing w:after="0" w:line="507" w:lineRule="auto"/>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VOTING POWER 0</w:t>
      </w:r>
    </w:p>
    <w:p>
      <w:pPr>
        <w:ind w:left="900" w:right="7280" w:hanging="895"/>
        <w:spacing w:after="0" w:line="507" w:lineRule="auto"/>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00" w:right="2560" w:hanging="895"/>
        <w:spacing w:after="0" w:line="500" w:lineRule="auto"/>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00" w:right="1540" w:hanging="895"/>
        <w:spacing w:after="0" w:line="247" w:lineRule="auto"/>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00" w:right="5000" w:hanging="895"/>
        <w:spacing w:after="0" w:line="274" w:lineRule="auto"/>
        <w:tabs>
          <w:tab w:leader="none" w:pos="9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294640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3" w:name="page4"/>
    <w:bookmarkEnd w:id="3"/>
    <w:p>
      <w:pPr>
        <w:ind w:left="1480"/>
        <w:spacing w:after="0"/>
        <w:rPr>
          <w:sz w:val="20"/>
          <w:szCs w:val="20"/>
          <w:color w:val="auto"/>
        </w:rPr>
      </w:pPr>
      <w:r>
        <w:rPr>
          <w:rFonts w:ascii="Arial" w:cs="Arial" w:eastAsia="Arial" w:hAnsi="Arial"/>
          <w:sz w:val="20"/>
          <w:szCs w:val="20"/>
          <w:color w:val="auto"/>
        </w:rPr>
        <w:t>G8598Y125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0</wp:posOffset>
            </wp:positionV>
            <wp:extent cx="1851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7" w:lineRule="exact"/>
        <w:rPr>
          <w:sz w:val="20"/>
          <w:szCs w:val="20"/>
          <w:color w:val="auto"/>
        </w:rPr>
      </w:pPr>
    </w:p>
    <w:p>
      <w:pPr>
        <w:ind w:left="900" w:hanging="895"/>
        <w:spacing w:after="0"/>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Dekania Investors, LLC</w:t>
      </w:r>
    </w:p>
    <w:p>
      <w:pPr>
        <w:ind w:left="900" w:hanging="895"/>
        <w:spacing w:after="0"/>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w:t>
      </w:r>
      <w:r>
        <w:rPr>
          <w:rFonts w:ascii="Arial" w:cs="Arial" w:eastAsia="Arial" w:hAnsi="Arial"/>
          <w:sz w:val="20"/>
          <w:szCs w:val="20"/>
          <w:u w:val="single" w:color="auto"/>
          <w:color w:val="auto"/>
        </w:rPr>
        <w:t>_</w:t>
      </w:r>
      <w:r>
        <w:rPr>
          <w:rFonts w:ascii="Arial" w:cs="Arial" w:eastAsia="Arial" w:hAnsi="Arial"/>
          <w:sz w:val="20"/>
          <w:szCs w:val="20"/>
          <w:color w:val="auto"/>
        </w:rPr>
        <w:t>]</w:t>
      </w:r>
    </w:p>
    <w:p>
      <w:pPr>
        <w:spacing w:after="0" w:line="249" w:lineRule="exact"/>
        <w:rPr>
          <w:sz w:val="20"/>
          <w:szCs w:val="20"/>
          <w:color w:val="auto"/>
        </w:rPr>
      </w:pPr>
    </w:p>
    <w:p>
      <w:pPr>
        <w:ind w:left="900" w:hanging="895"/>
        <w:spacing w:after="0"/>
        <w:tabs>
          <w:tab w:leader="none" w:pos="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hanging="895"/>
        <w:spacing w:after="0"/>
        <w:tabs>
          <w:tab w:leader="none" w:pos="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right="7720" w:hanging="895"/>
        <w:spacing w:after="0" w:line="50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SHARED VOTING POWER 0</w:t>
      </w:r>
    </w:p>
    <w:p>
      <w:pPr>
        <w:ind w:left="900" w:right="7280" w:hanging="895"/>
        <w:spacing w:after="0" w:line="50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00" w:right="2560" w:hanging="895"/>
        <w:spacing w:after="0" w:line="500"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00" w:right="1540" w:hanging="895"/>
        <w:spacing w:after="0" w:line="247" w:lineRule="auto"/>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00" w:right="5000" w:hanging="895"/>
        <w:spacing w:after="0" w:line="274" w:lineRule="auto"/>
        <w:tabs>
          <w:tab w:leader="none" w:pos="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TYPE OF REPORTING PERSON (SEE INSTRUCTIONS)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294640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4" w:name="page5"/>
    <w:bookmarkEnd w:id="4"/>
    <w:p>
      <w:pPr>
        <w:ind w:left="1480"/>
        <w:spacing w:after="0"/>
        <w:rPr>
          <w:sz w:val="20"/>
          <w:szCs w:val="20"/>
          <w:color w:val="auto"/>
        </w:rPr>
      </w:pPr>
      <w:r>
        <w:rPr>
          <w:rFonts w:ascii="Arial" w:cs="Arial" w:eastAsia="Arial" w:hAnsi="Arial"/>
          <w:sz w:val="20"/>
          <w:szCs w:val="20"/>
          <w:color w:val="auto"/>
        </w:rPr>
        <w:t>G8598Y125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0</wp:posOffset>
            </wp:positionV>
            <wp:extent cx="1851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7" w:lineRule="exact"/>
        <w:rPr>
          <w:sz w:val="20"/>
          <w:szCs w:val="20"/>
          <w:color w:val="auto"/>
        </w:rPr>
      </w:pPr>
    </w:p>
    <w:p>
      <w:pPr>
        <w:ind w:left="900" w:hanging="895"/>
        <w:spacing w:after="0"/>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Cohen &amp; Company LLC</w:t>
      </w:r>
    </w:p>
    <w:p>
      <w:pPr>
        <w:ind w:left="900" w:hanging="895"/>
        <w:spacing w:after="0"/>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w:t>
      </w:r>
      <w:r>
        <w:rPr>
          <w:rFonts w:ascii="Arial" w:cs="Arial" w:eastAsia="Arial" w:hAnsi="Arial"/>
          <w:sz w:val="20"/>
          <w:szCs w:val="20"/>
          <w:u w:val="single" w:color="auto"/>
          <w:color w:val="auto"/>
        </w:rPr>
        <w:t>_</w:t>
      </w:r>
      <w:r>
        <w:rPr>
          <w:rFonts w:ascii="Arial" w:cs="Arial" w:eastAsia="Arial" w:hAnsi="Arial"/>
          <w:sz w:val="20"/>
          <w:szCs w:val="20"/>
          <w:color w:val="auto"/>
        </w:rPr>
        <w:t>]</w:t>
      </w:r>
    </w:p>
    <w:p>
      <w:pPr>
        <w:spacing w:after="0" w:line="249" w:lineRule="exact"/>
        <w:rPr>
          <w:sz w:val="20"/>
          <w:szCs w:val="20"/>
          <w:color w:val="auto"/>
        </w:rPr>
      </w:pPr>
    </w:p>
    <w:p>
      <w:pPr>
        <w:ind w:left="900" w:hanging="895"/>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hanging="895"/>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right="7720" w:hanging="895"/>
        <w:spacing w:after="0" w:line="50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SHARED VOTING POWER 0</w:t>
      </w:r>
    </w:p>
    <w:p>
      <w:pPr>
        <w:ind w:left="900" w:right="7280" w:hanging="895"/>
        <w:spacing w:after="0" w:line="50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00" w:right="2560" w:hanging="895"/>
        <w:spacing w:after="0" w:line="500"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00" w:right="1540" w:hanging="895"/>
        <w:spacing w:after="0" w:line="247"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00" w:right="5000" w:hanging="895"/>
        <w:spacing w:after="0" w:line="274" w:lineRule="auto"/>
        <w:tabs>
          <w:tab w:leader="none" w:pos="9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TYPE OF REPORTING PERSON (SEE INSTRUCTIONS)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5" w:name="page6"/>
    <w:bookmarkEnd w:id="5"/>
    <w:p>
      <w:pPr>
        <w:ind w:left="1480"/>
        <w:spacing w:after="0"/>
        <w:rPr>
          <w:sz w:val="20"/>
          <w:szCs w:val="20"/>
          <w:color w:val="auto"/>
        </w:rPr>
      </w:pPr>
      <w:r>
        <w:rPr>
          <w:rFonts w:ascii="Arial" w:cs="Arial" w:eastAsia="Arial" w:hAnsi="Arial"/>
          <w:sz w:val="20"/>
          <w:szCs w:val="20"/>
          <w:color w:val="auto"/>
        </w:rPr>
        <w:t>G8598Y125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0</wp:posOffset>
            </wp:positionV>
            <wp:extent cx="1851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900" w:hanging="895"/>
        <w:spacing w:after="0"/>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Cohen &amp; Company Inc.</w:t>
      </w:r>
    </w:p>
    <w:p>
      <w:pPr>
        <w:ind w:left="900" w:hanging="895"/>
        <w:spacing w:after="0"/>
        <w:tabs>
          <w:tab w:leader="none" w:pos="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w:t>
      </w:r>
      <w:r>
        <w:rPr>
          <w:rFonts w:ascii="Arial" w:cs="Arial" w:eastAsia="Arial" w:hAnsi="Arial"/>
          <w:sz w:val="20"/>
          <w:szCs w:val="20"/>
          <w:u w:val="single" w:color="auto"/>
          <w:color w:val="auto"/>
        </w:rPr>
        <w:t>_</w:t>
      </w:r>
      <w:r>
        <w:rPr>
          <w:rFonts w:ascii="Arial" w:cs="Arial" w:eastAsia="Arial" w:hAnsi="Arial"/>
          <w:sz w:val="20"/>
          <w:szCs w:val="20"/>
          <w:color w:val="auto"/>
        </w:rPr>
        <w:t>]</w:t>
      </w:r>
    </w:p>
    <w:p>
      <w:pPr>
        <w:spacing w:after="0" w:line="249" w:lineRule="exact"/>
        <w:rPr>
          <w:sz w:val="20"/>
          <w:szCs w:val="20"/>
          <w:color w:val="auto"/>
        </w:rPr>
      </w:pPr>
    </w:p>
    <w:p>
      <w:pPr>
        <w:ind w:left="900" w:hanging="895"/>
        <w:spacing w:after="0"/>
        <w:tabs>
          <w:tab w:leader="none" w:pos="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right="5740" w:hanging="895"/>
        <w:spacing w:after="0" w:line="528" w:lineRule="auto"/>
        <w:tabs>
          <w:tab w:leader="none" w:pos="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33" w:lineRule="exact"/>
        <w:rPr>
          <w:sz w:val="20"/>
          <w:szCs w:val="20"/>
          <w:color w:val="auto"/>
        </w:rPr>
      </w:pPr>
    </w:p>
    <w:p>
      <w:pPr>
        <w:ind w:left="900" w:right="7720" w:hanging="895"/>
        <w:spacing w:after="0" w:line="507"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SHARED VOTING POWER 0</w:t>
      </w:r>
    </w:p>
    <w:p>
      <w:pPr>
        <w:ind w:left="900" w:right="7280" w:hanging="895"/>
        <w:spacing w:after="0" w:line="507"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00" w:right="2560" w:hanging="895"/>
        <w:spacing w:after="0" w:line="500"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00" w:right="1540" w:hanging="895"/>
        <w:spacing w:after="0" w:line="247"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00" w:right="5000" w:hanging="895"/>
        <w:spacing w:after="0" w:line="274" w:lineRule="auto"/>
        <w:tabs>
          <w:tab w:leader="none" w:pos="9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TYPE OF REPORTING PERSON (SEE INSTRUCTIONS) 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6" w:name="page7"/>
    <w:bookmarkEnd w:id="6"/>
    <w:p>
      <w:pPr>
        <w:ind w:left="1580"/>
        <w:spacing w:after="0"/>
        <w:rPr>
          <w:sz w:val="20"/>
          <w:szCs w:val="20"/>
          <w:color w:val="auto"/>
        </w:rPr>
      </w:pPr>
      <w:r>
        <w:rPr>
          <w:rFonts w:ascii="Arial" w:cs="Arial" w:eastAsia="Arial" w:hAnsi="Arial"/>
          <w:sz w:val="20"/>
          <w:szCs w:val="20"/>
          <w:color w:val="auto"/>
        </w:rPr>
        <w:t>G8598Y125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900" w:hanging="895"/>
        <w:spacing w:after="0"/>
        <w:tabs>
          <w:tab w:leader="none" w:pos="9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Daniel G. Cohen</w:t>
      </w:r>
    </w:p>
    <w:p>
      <w:pPr>
        <w:ind w:left="900" w:hanging="895"/>
        <w:spacing w:after="0"/>
        <w:tabs>
          <w:tab w:leader="none" w:pos="9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w:t>
      </w:r>
      <w:r>
        <w:rPr>
          <w:rFonts w:ascii="Arial" w:cs="Arial" w:eastAsia="Arial" w:hAnsi="Arial"/>
          <w:sz w:val="20"/>
          <w:szCs w:val="20"/>
          <w:u w:val="single" w:color="auto"/>
          <w:color w:val="auto"/>
        </w:rPr>
        <w:t>_</w:t>
      </w:r>
      <w:r>
        <w:rPr>
          <w:rFonts w:ascii="Arial" w:cs="Arial" w:eastAsia="Arial" w:hAnsi="Arial"/>
          <w:sz w:val="20"/>
          <w:szCs w:val="20"/>
          <w:color w:val="auto"/>
        </w:rPr>
        <w:t>]</w:t>
      </w:r>
    </w:p>
    <w:p>
      <w:pPr>
        <w:spacing w:after="0" w:line="249" w:lineRule="exact"/>
        <w:rPr>
          <w:sz w:val="20"/>
          <w:szCs w:val="20"/>
          <w:color w:val="auto"/>
        </w:rPr>
      </w:pPr>
    </w:p>
    <w:p>
      <w:pPr>
        <w:ind w:left="900" w:hanging="895"/>
        <w:spacing w:after="0"/>
        <w:tabs>
          <w:tab w:leader="none" w:pos="9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900" w:right="5740" w:hanging="895"/>
        <w:spacing w:after="0" w:line="528" w:lineRule="auto"/>
        <w:tabs>
          <w:tab w:leader="none" w:pos="9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w:t>
      </w:r>
    </w:p>
    <w:p>
      <w:pPr>
        <w:spacing w:after="0" w:line="200" w:lineRule="exact"/>
        <w:rPr>
          <w:sz w:val="20"/>
          <w:szCs w:val="20"/>
          <w:color w:val="auto"/>
        </w:rPr>
      </w:pPr>
    </w:p>
    <w:p>
      <w:pPr>
        <w:spacing w:after="0" w:line="233" w:lineRule="exact"/>
        <w:rPr>
          <w:sz w:val="20"/>
          <w:szCs w:val="20"/>
          <w:color w:val="auto"/>
        </w:rPr>
      </w:pPr>
    </w:p>
    <w:p>
      <w:pPr>
        <w:ind w:left="900" w:right="7720" w:hanging="895"/>
        <w:spacing w:after="0" w:line="507"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SHARED VOTING POWER 0</w:t>
      </w:r>
    </w:p>
    <w:p>
      <w:pPr>
        <w:ind w:left="900" w:right="7280" w:hanging="895"/>
        <w:spacing w:after="0" w:line="507"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00" w:right="2560" w:hanging="895"/>
        <w:spacing w:after="0" w:line="500"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00" w:right="1540" w:hanging="895"/>
        <w:spacing w:after="0" w:line="247" w:lineRule="auto"/>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83" w:lineRule="exact"/>
        <w:rPr>
          <w:sz w:val="20"/>
          <w:szCs w:val="20"/>
          <w:color w:val="auto"/>
        </w:rPr>
      </w:pPr>
    </w:p>
    <w:p>
      <w:pPr>
        <w:ind w:left="900" w:right="4200" w:hanging="895"/>
        <w:spacing w:after="0" w:line="507" w:lineRule="auto"/>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00" w:right="5000" w:hanging="895"/>
        <w:spacing w:after="0" w:line="274" w:lineRule="auto"/>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5"/>
        </w:trPr>
        <w:tc>
          <w:tcPr>
            <w:tcW w:w="980" w:type="dxa"/>
            <w:vAlign w:val="bottom"/>
          </w:tcPr>
          <w:p>
            <w:pPr>
              <w:ind w:left="100"/>
              <w:spacing w:after="0"/>
              <w:rPr>
                <w:sz w:val="20"/>
                <w:szCs w:val="20"/>
                <w:color w:val="auto"/>
              </w:rPr>
            </w:pPr>
            <w:r>
              <w:rPr>
                <w:rFonts w:ascii="Arial" w:cs="Arial" w:eastAsia="Arial" w:hAnsi="Arial"/>
                <w:sz w:val="20"/>
                <w:szCs w:val="20"/>
                <w:color w:val="auto"/>
                <w:w w:val="93"/>
              </w:rPr>
              <w:t>CUSIP No</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G8598Y125</w:t>
            </w:r>
          </w:p>
        </w:tc>
        <w:tc>
          <w:tcPr>
            <w:tcW w:w="57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61"/>
        </w:trPr>
        <w:tc>
          <w:tcPr>
            <w:tcW w:w="980" w:type="dxa"/>
            <w:vAlign w:val="bottom"/>
          </w:tcPr>
          <w:p>
            <w:pPr>
              <w:ind w:left="100"/>
              <w:spacing w:after="0"/>
              <w:rPr>
                <w:sz w:val="20"/>
                <w:szCs w:val="20"/>
                <w:color w:val="auto"/>
              </w:rPr>
            </w:pPr>
            <w:r>
              <w:rPr>
                <w:rFonts w:ascii="Arial" w:cs="Arial" w:eastAsia="Arial" w:hAnsi="Arial"/>
                <w:sz w:val="18"/>
                <w:szCs w:val="18"/>
                <w:color w:val="auto"/>
              </w:rPr>
              <w:t>Item 1.</w:t>
            </w:r>
          </w:p>
        </w:tc>
        <w:tc>
          <w:tcPr>
            <w:tcW w:w="600" w:type="dxa"/>
            <w:vAlign w:val="bottom"/>
          </w:tcPr>
          <w:p>
            <w:pPr>
              <w:ind w:left="20"/>
              <w:spacing w:after="0"/>
              <w:rPr>
                <w:sz w:val="20"/>
                <w:szCs w:val="20"/>
                <w:color w:val="auto"/>
              </w:rPr>
            </w:pPr>
            <w:r>
              <w:rPr>
                <w:rFonts w:ascii="Arial" w:cs="Arial" w:eastAsia="Arial" w:hAnsi="Arial"/>
                <w:sz w:val="20"/>
                <w:szCs w:val="20"/>
                <w:color w:val="auto"/>
              </w:rPr>
              <w:t>(a).</w:t>
            </w: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Name of Issuer:</w:t>
            </w:r>
          </w:p>
        </w:tc>
        <w:tc>
          <w:tcPr>
            <w:tcW w:w="1120" w:type="dxa"/>
            <w:vAlign w:val="bottom"/>
          </w:tcPr>
          <w:p>
            <w:pPr>
              <w:spacing w:after="0"/>
              <w:rPr>
                <w:sz w:val="24"/>
                <w:szCs w:val="24"/>
                <w:color w:val="auto"/>
              </w:rPr>
            </w:pPr>
          </w:p>
        </w:tc>
      </w:tr>
      <w:tr>
        <w:trPr>
          <w:trHeight w:val="491"/>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Sustainable Opportunities Acquisition Corp.</w:t>
            </w:r>
          </w:p>
        </w:tc>
        <w:tc>
          <w:tcPr>
            <w:tcW w:w="1120" w:type="dxa"/>
            <w:vAlign w:val="bottom"/>
          </w:tcPr>
          <w:p>
            <w:pPr>
              <w:spacing w:after="0"/>
              <w:rPr>
                <w:sz w:val="24"/>
                <w:szCs w:val="24"/>
                <w:color w:val="auto"/>
              </w:rPr>
            </w:pPr>
          </w:p>
        </w:tc>
      </w:tr>
      <w:tr>
        <w:trPr>
          <w:trHeight w:val="461"/>
        </w:trPr>
        <w:tc>
          <w:tcPr>
            <w:tcW w:w="98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Arial" w:cs="Arial" w:eastAsia="Arial" w:hAnsi="Arial"/>
                <w:sz w:val="20"/>
                <w:szCs w:val="20"/>
                <w:color w:val="auto"/>
              </w:rPr>
              <w:t>(b).</w:t>
            </w: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Address of issuer's principal executive offices:</w:t>
            </w:r>
          </w:p>
        </w:tc>
        <w:tc>
          <w:tcPr>
            <w:tcW w:w="1120" w:type="dxa"/>
            <w:vAlign w:val="bottom"/>
          </w:tcPr>
          <w:p>
            <w:pPr>
              <w:spacing w:after="0"/>
              <w:rPr>
                <w:sz w:val="24"/>
                <w:szCs w:val="24"/>
                <w:color w:val="auto"/>
              </w:rPr>
            </w:pPr>
          </w:p>
        </w:tc>
      </w:tr>
      <w:tr>
        <w:trPr>
          <w:trHeight w:val="465"/>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1601 Bryan Street, Suite 4141</w:t>
            </w:r>
          </w:p>
        </w:tc>
        <w:tc>
          <w:tcPr>
            <w:tcW w:w="1120" w:type="dxa"/>
            <w:vAlign w:val="bottom"/>
          </w:tcPr>
          <w:p>
            <w:pPr>
              <w:spacing w:after="0"/>
              <w:rPr>
                <w:sz w:val="24"/>
                <w:szCs w:val="24"/>
                <w:color w:val="auto"/>
              </w:rPr>
            </w:pPr>
          </w:p>
        </w:tc>
      </w:tr>
      <w:tr>
        <w:trPr>
          <w:trHeight w:val="246"/>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Dallas, Texas 75201</w:t>
            </w:r>
          </w:p>
        </w:tc>
        <w:tc>
          <w:tcPr>
            <w:tcW w:w="1120" w:type="dxa"/>
            <w:vAlign w:val="bottom"/>
          </w:tcPr>
          <w:p>
            <w:pPr>
              <w:spacing w:after="0"/>
              <w:rPr>
                <w:sz w:val="21"/>
                <w:szCs w:val="21"/>
                <w:color w:val="auto"/>
              </w:rPr>
            </w:pPr>
          </w:p>
        </w:tc>
      </w:tr>
      <w:tr>
        <w:trPr>
          <w:trHeight w:val="457"/>
        </w:trPr>
        <w:tc>
          <w:tcPr>
            <w:tcW w:w="980" w:type="dxa"/>
            <w:vAlign w:val="bottom"/>
          </w:tcPr>
          <w:p>
            <w:pPr>
              <w:ind w:left="100"/>
              <w:spacing w:after="0"/>
              <w:rPr>
                <w:sz w:val="20"/>
                <w:szCs w:val="20"/>
                <w:color w:val="auto"/>
              </w:rPr>
            </w:pPr>
            <w:r>
              <w:rPr>
                <w:rFonts w:ascii="Arial" w:cs="Arial" w:eastAsia="Arial" w:hAnsi="Arial"/>
                <w:sz w:val="18"/>
                <w:szCs w:val="18"/>
                <w:color w:val="auto"/>
              </w:rPr>
              <w:t>Item 2.</w:t>
            </w:r>
          </w:p>
        </w:tc>
        <w:tc>
          <w:tcPr>
            <w:tcW w:w="600" w:type="dxa"/>
            <w:vAlign w:val="bottom"/>
          </w:tcPr>
          <w:p>
            <w:pPr>
              <w:ind w:left="20"/>
              <w:spacing w:after="0"/>
              <w:rPr>
                <w:sz w:val="20"/>
                <w:szCs w:val="20"/>
                <w:color w:val="auto"/>
              </w:rPr>
            </w:pPr>
            <w:r>
              <w:rPr>
                <w:rFonts w:ascii="Arial" w:cs="Arial" w:eastAsia="Arial" w:hAnsi="Arial"/>
                <w:sz w:val="20"/>
                <w:szCs w:val="20"/>
                <w:color w:val="auto"/>
              </w:rPr>
              <w:t>(a).</w:t>
            </w: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Name of persons filing:</w:t>
            </w:r>
          </w:p>
        </w:tc>
        <w:tc>
          <w:tcPr>
            <w:tcW w:w="1120" w:type="dxa"/>
            <w:vAlign w:val="bottom"/>
          </w:tcPr>
          <w:p>
            <w:pPr>
              <w:spacing w:after="0"/>
              <w:rPr>
                <w:sz w:val="24"/>
                <w:szCs w:val="24"/>
                <w:color w:val="auto"/>
              </w:rPr>
            </w:pPr>
          </w:p>
        </w:tc>
      </w:tr>
      <w:tr>
        <w:trPr>
          <w:trHeight w:val="45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Vellar Opportunities Fund Master, Ltd.</w:t>
            </w:r>
          </w:p>
        </w:tc>
        <w:tc>
          <w:tcPr>
            <w:tcW w:w="112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Cohen &amp; Company Financial Management, LLC</w:t>
            </w:r>
          </w:p>
        </w:tc>
        <w:tc>
          <w:tcPr>
            <w:tcW w:w="112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Dekania Investors, LLC</w:t>
            </w:r>
          </w:p>
        </w:tc>
        <w:tc>
          <w:tcPr>
            <w:tcW w:w="112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Cohen &amp; Company LLC</w:t>
            </w:r>
          </w:p>
        </w:tc>
        <w:tc>
          <w:tcPr>
            <w:tcW w:w="112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Cohen &amp; Company Inc.</w:t>
            </w:r>
          </w:p>
        </w:tc>
        <w:tc>
          <w:tcPr>
            <w:tcW w:w="1120" w:type="dxa"/>
            <w:vAlign w:val="bottom"/>
          </w:tcPr>
          <w:p>
            <w:pPr>
              <w:spacing w:after="0"/>
              <w:rPr>
                <w:sz w:val="19"/>
                <w:szCs w:val="19"/>
                <w:color w:val="auto"/>
              </w:rPr>
            </w:pPr>
          </w:p>
        </w:tc>
      </w:tr>
      <w:tr>
        <w:trPr>
          <w:trHeight w:val="246"/>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Daniel G. Cohen</w:t>
            </w:r>
          </w:p>
        </w:tc>
        <w:tc>
          <w:tcPr>
            <w:tcW w:w="1120" w:type="dxa"/>
            <w:vAlign w:val="bottom"/>
          </w:tcPr>
          <w:p>
            <w:pPr>
              <w:spacing w:after="0"/>
              <w:rPr>
                <w:sz w:val="21"/>
                <w:szCs w:val="21"/>
                <w:color w:val="auto"/>
              </w:rPr>
            </w:pPr>
          </w:p>
        </w:tc>
      </w:tr>
      <w:tr>
        <w:trPr>
          <w:trHeight w:val="457"/>
        </w:trPr>
        <w:tc>
          <w:tcPr>
            <w:tcW w:w="9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20"/>
                <w:szCs w:val="20"/>
                <w:color w:val="auto"/>
              </w:rPr>
              <w:t>(b).</w:t>
            </w: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Address or principal business office or, if none, residence:</w:t>
            </w:r>
          </w:p>
        </w:tc>
        <w:tc>
          <w:tcPr>
            <w:tcW w:w="1120" w:type="dxa"/>
            <w:vAlign w:val="bottom"/>
          </w:tcPr>
          <w:p>
            <w:pPr>
              <w:spacing w:after="0"/>
              <w:rPr>
                <w:sz w:val="24"/>
                <w:szCs w:val="24"/>
                <w:color w:val="auto"/>
              </w:rPr>
            </w:pPr>
          </w:p>
        </w:tc>
      </w:tr>
      <w:tr>
        <w:trPr>
          <w:trHeight w:val="45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Vellar Opportunities Fund Offshore, Ltd.</w:t>
            </w:r>
          </w:p>
        </w:tc>
        <w:tc>
          <w:tcPr>
            <w:tcW w:w="1120" w:type="dxa"/>
            <w:vAlign w:val="bottom"/>
          </w:tcPr>
          <w:p>
            <w:pPr>
              <w:spacing w:after="0"/>
              <w:rPr>
                <w:sz w:val="24"/>
                <w:szCs w:val="24"/>
                <w:color w:val="auto"/>
              </w:rPr>
            </w:pPr>
          </w:p>
        </w:tc>
      </w:tr>
      <w:tr>
        <w:trPr>
          <w:trHeight w:val="229"/>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c/o Mourant Governance Services (Cayman) Limited</w:t>
            </w:r>
          </w:p>
        </w:tc>
        <w:tc>
          <w:tcPr>
            <w:tcW w:w="112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94 Solaris Avenue, Camana Bay</w:t>
            </w:r>
          </w:p>
        </w:tc>
        <w:tc>
          <w:tcPr>
            <w:tcW w:w="112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PO Box 1348</w:t>
            </w:r>
          </w:p>
        </w:tc>
        <w:tc>
          <w:tcPr>
            <w:tcW w:w="112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Grand Cayman KY1-1108</w:t>
            </w:r>
          </w:p>
        </w:tc>
        <w:tc>
          <w:tcPr>
            <w:tcW w:w="112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Cayman Islands</w:t>
            </w:r>
          </w:p>
        </w:tc>
        <w:tc>
          <w:tcPr>
            <w:tcW w:w="1120" w:type="dxa"/>
            <w:vAlign w:val="bottom"/>
          </w:tcPr>
          <w:p>
            <w:pPr>
              <w:spacing w:after="0"/>
              <w:rPr>
                <w:sz w:val="21"/>
                <w:szCs w:val="21"/>
                <w:color w:val="auto"/>
              </w:rPr>
            </w:pPr>
          </w:p>
        </w:tc>
      </w:tr>
      <w:tr>
        <w:trPr>
          <w:trHeight w:val="438"/>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Cohen &amp; Company Financial Management, LLC</w:t>
            </w:r>
          </w:p>
        </w:tc>
        <w:tc>
          <w:tcPr>
            <w:tcW w:w="112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3 Columbus Circle, Suite 2400</w:t>
            </w:r>
          </w:p>
        </w:tc>
        <w:tc>
          <w:tcPr>
            <w:tcW w:w="112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New York, New York 10019</w:t>
            </w:r>
          </w:p>
        </w:tc>
        <w:tc>
          <w:tcPr>
            <w:tcW w:w="112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United States</w:t>
            </w:r>
          </w:p>
        </w:tc>
        <w:tc>
          <w:tcPr>
            <w:tcW w:w="1120" w:type="dxa"/>
            <w:vAlign w:val="bottom"/>
          </w:tcPr>
          <w:p>
            <w:pPr>
              <w:spacing w:after="0"/>
              <w:rPr>
                <w:sz w:val="21"/>
                <w:szCs w:val="21"/>
                <w:color w:val="auto"/>
              </w:rPr>
            </w:pPr>
          </w:p>
        </w:tc>
      </w:tr>
      <w:tr>
        <w:trPr>
          <w:trHeight w:val="438"/>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Dekania Investors, LLC</w:t>
            </w:r>
          </w:p>
        </w:tc>
        <w:tc>
          <w:tcPr>
            <w:tcW w:w="112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3 Columbus Circle, Suite 2400</w:t>
            </w:r>
          </w:p>
        </w:tc>
        <w:tc>
          <w:tcPr>
            <w:tcW w:w="112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New York, New York 10019</w:t>
            </w:r>
          </w:p>
        </w:tc>
        <w:tc>
          <w:tcPr>
            <w:tcW w:w="112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United States</w:t>
            </w:r>
          </w:p>
        </w:tc>
        <w:tc>
          <w:tcPr>
            <w:tcW w:w="1120" w:type="dxa"/>
            <w:vAlign w:val="bottom"/>
          </w:tcPr>
          <w:p>
            <w:pPr>
              <w:spacing w:after="0"/>
              <w:rPr>
                <w:sz w:val="21"/>
                <w:szCs w:val="21"/>
                <w:color w:val="auto"/>
              </w:rPr>
            </w:pPr>
          </w:p>
        </w:tc>
      </w:tr>
      <w:tr>
        <w:trPr>
          <w:trHeight w:val="438"/>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Cohen &amp; Company LLC</w:t>
            </w:r>
          </w:p>
        </w:tc>
        <w:tc>
          <w:tcPr>
            <w:tcW w:w="112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3 Columbus Circle, Suite 2400</w:t>
            </w:r>
          </w:p>
        </w:tc>
        <w:tc>
          <w:tcPr>
            <w:tcW w:w="112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New York, New York 10019</w:t>
            </w:r>
          </w:p>
        </w:tc>
        <w:tc>
          <w:tcPr>
            <w:tcW w:w="112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United States</w:t>
            </w:r>
          </w:p>
        </w:tc>
        <w:tc>
          <w:tcPr>
            <w:tcW w:w="1120" w:type="dxa"/>
            <w:vAlign w:val="bottom"/>
          </w:tcPr>
          <w:p>
            <w:pPr>
              <w:spacing w:after="0"/>
              <w:rPr>
                <w:sz w:val="21"/>
                <w:szCs w:val="21"/>
                <w:color w:val="auto"/>
              </w:rPr>
            </w:pPr>
          </w:p>
        </w:tc>
      </w:tr>
      <w:tr>
        <w:trPr>
          <w:trHeight w:val="438"/>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Cohen &amp; Company Inc.</w:t>
            </w:r>
          </w:p>
        </w:tc>
        <w:tc>
          <w:tcPr>
            <w:tcW w:w="1120" w:type="dxa"/>
            <w:vAlign w:val="bottom"/>
          </w:tcPr>
          <w:p>
            <w:pPr>
              <w:spacing w:after="0"/>
              <w:rPr>
                <w:sz w:val="24"/>
                <w:szCs w:val="24"/>
                <w:color w:val="auto"/>
              </w:rPr>
            </w:pPr>
          </w:p>
        </w:tc>
      </w:tr>
      <w:tr>
        <w:trPr>
          <w:trHeight w:val="229"/>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3 Columbus Circle, Suite 2400</w:t>
            </w:r>
          </w:p>
        </w:tc>
        <w:tc>
          <w:tcPr>
            <w:tcW w:w="112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New York, New York 10019</w:t>
            </w:r>
          </w:p>
        </w:tc>
        <w:tc>
          <w:tcPr>
            <w:tcW w:w="112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United States</w:t>
            </w:r>
          </w:p>
        </w:tc>
        <w:tc>
          <w:tcPr>
            <w:tcW w:w="1120" w:type="dxa"/>
            <w:vAlign w:val="bottom"/>
          </w:tcPr>
          <w:p>
            <w:pPr>
              <w:spacing w:after="0"/>
              <w:rPr>
                <w:sz w:val="21"/>
                <w:szCs w:val="21"/>
                <w:color w:val="auto"/>
              </w:rPr>
            </w:pPr>
          </w:p>
        </w:tc>
      </w:tr>
      <w:tr>
        <w:trPr>
          <w:trHeight w:val="438"/>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Daniel Cohen</w:t>
            </w:r>
          </w:p>
        </w:tc>
        <w:tc>
          <w:tcPr>
            <w:tcW w:w="112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c/o Cohen &amp; Company Inc.</w:t>
            </w:r>
          </w:p>
        </w:tc>
        <w:tc>
          <w:tcPr>
            <w:tcW w:w="112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3 Columbus Circle, Suite 2400</w:t>
            </w:r>
          </w:p>
        </w:tc>
        <w:tc>
          <w:tcPr>
            <w:tcW w:w="112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gridSpan w:val="3"/>
          </w:tcPr>
          <w:p>
            <w:pPr>
              <w:ind w:left="100"/>
              <w:spacing w:after="0"/>
              <w:rPr>
                <w:sz w:val="20"/>
                <w:szCs w:val="20"/>
                <w:color w:val="auto"/>
              </w:rPr>
            </w:pPr>
            <w:r>
              <w:rPr>
                <w:rFonts w:ascii="Arial" w:cs="Arial" w:eastAsia="Arial" w:hAnsi="Arial"/>
                <w:sz w:val="20"/>
                <w:szCs w:val="20"/>
                <w:color w:val="auto"/>
              </w:rPr>
              <w:t>New York, New York 10019</w:t>
            </w:r>
          </w:p>
        </w:tc>
        <w:tc>
          <w:tcPr>
            <w:tcW w:w="1120" w:type="dxa"/>
            <w:vAlign w:val="bottom"/>
          </w:tcPr>
          <w:p>
            <w:pPr>
              <w:spacing w:after="0"/>
              <w:rPr>
                <w:sz w:val="19"/>
                <w:szCs w:val="19"/>
                <w:color w:val="auto"/>
              </w:rPr>
            </w:pPr>
          </w:p>
        </w:tc>
      </w:tr>
      <w:tr>
        <w:trPr>
          <w:trHeight w:val="246"/>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54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United States</w:t>
            </w:r>
          </w:p>
        </w:tc>
        <w:tc>
          <w:tcPr>
            <w:tcW w:w="1120" w:type="dxa"/>
            <w:vAlign w:val="bottom"/>
          </w:tcPr>
          <w:p>
            <w:pPr>
              <w:spacing w:after="0"/>
              <w:rPr>
                <w:sz w:val="21"/>
                <w:szCs w:val="21"/>
                <w:color w:val="auto"/>
              </w:rPr>
            </w:pPr>
          </w:p>
        </w:tc>
      </w:tr>
      <w:tr>
        <w:trPr>
          <w:trHeight w:val="466"/>
        </w:trPr>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7" w:right="339" w:bottom="1440" w:gutter="0" w:footer="0" w:header="0"/>
        </w:sectPr>
      </w:pPr>
    </w:p>
    <w:bookmarkStart w:id="8" w:name="page9"/>
    <w:bookmarkEnd w:id="8"/>
    <w:p>
      <w:pPr>
        <w:ind w:left="900"/>
        <w:spacing w:after="0"/>
        <w:tabs>
          <w:tab w:leader="none" w:pos="15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Citizenship:</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Vellar Opportunities Fund Master, Ltd. – Cayman Islands</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Cohen &amp; Company Financial Management, LLC – Delaware, United States</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Dekania Investors, LLC – Delaware, United States</w:t>
      </w:r>
    </w:p>
    <w:p>
      <w:pPr>
        <w:ind w:left="1580"/>
        <w:spacing w:after="0"/>
        <w:rPr>
          <w:sz w:val="20"/>
          <w:szCs w:val="20"/>
          <w:color w:val="auto"/>
        </w:rPr>
      </w:pPr>
      <w:r>
        <w:rPr>
          <w:rFonts w:ascii="Arial" w:cs="Arial" w:eastAsia="Arial" w:hAnsi="Arial"/>
          <w:sz w:val="20"/>
          <w:szCs w:val="20"/>
          <w:color w:val="auto"/>
        </w:rPr>
        <w:t>Cohen &amp; Company LLC – Delaware, United States</w:t>
      </w:r>
    </w:p>
    <w:p>
      <w:pPr>
        <w:ind w:left="1580"/>
        <w:spacing w:after="0"/>
        <w:rPr>
          <w:sz w:val="20"/>
          <w:szCs w:val="20"/>
          <w:color w:val="auto"/>
        </w:rPr>
      </w:pPr>
      <w:r>
        <w:rPr>
          <w:rFonts w:ascii="Arial" w:cs="Arial" w:eastAsia="Arial" w:hAnsi="Arial"/>
          <w:sz w:val="20"/>
          <w:szCs w:val="20"/>
          <w:color w:val="auto"/>
        </w:rPr>
        <w:t>Cohen &amp; Company Inc. – Delaware, United States</w:t>
      </w:r>
    </w:p>
    <w:p>
      <w:pPr>
        <w:ind w:left="1580"/>
        <w:spacing w:after="0"/>
        <w:rPr>
          <w:sz w:val="20"/>
          <w:szCs w:val="20"/>
          <w:color w:val="auto"/>
        </w:rPr>
      </w:pPr>
      <w:r>
        <w:rPr>
          <w:rFonts w:ascii="Arial" w:cs="Arial" w:eastAsia="Arial" w:hAnsi="Arial"/>
          <w:sz w:val="20"/>
          <w:szCs w:val="20"/>
          <w:color w:val="auto"/>
        </w:rPr>
        <w:t>Daniel G. Cohen –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5417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7"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Title of class of securities:</w:t>
      </w:r>
    </w:p>
    <w:p>
      <w:pPr>
        <w:spacing w:after="0" w:line="256"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Class A Ordinary Shares,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19050</wp:posOffset>
            </wp:positionV>
            <wp:extent cx="54178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36"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CUSIP No.:</w:t>
      </w:r>
    </w:p>
    <w:p>
      <w:pPr>
        <w:spacing w:after="0" w:line="256" w:lineRule="exact"/>
        <w:rPr>
          <w:sz w:val="20"/>
          <w:szCs w:val="20"/>
          <w:color w:val="auto"/>
        </w:rPr>
      </w:pPr>
    </w:p>
    <w:p>
      <w:pPr>
        <w:ind w:left="1580" w:right="880"/>
        <w:spacing w:after="0" w:line="260" w:lineRule="auto"/>
        <w:rPr>
          <w:sz w:val="20"/>
          <w:szCs w:val="20"/>
          <w:color w:val="auto"/>
        </w:rPr>
      </w:pPr>
      <w:r>
        <w:rPr>
          <w:rFonts w:ascii="Arial" w:cs="Arial" w:eastAsia="Arial" w:hAnsi="Arial"/>
          <w:sz w:val="20"/>
          <w:szCs w:val="20"/>
          <w:color w:val="auto"/>
        </w:rPr>
        <w:t>The Class A Ordinary Shares have no CUSIP number. The CUSIP number for the units that include the Class A Ordinary Shares is G8598Y125.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-13335</wp:posOffset>
            </wp:positionV>
            <wp:extent cx="5417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184"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If this Statement is filed pursuant to §§.240.13d-1(b) or 240.13d-2(b), or (c), check whether the person filing is a</w:t>
      </w:r>
    </w:p>
    <w:p>
      <w:pPr>
        <w:spacing w:after="0" w:line="266" w:lineRule="exact"/>
        <w:rPr>
          <w:sz w:val="20"/>
          <w:szCs w:val="20"/>
          <w:color w:val="auto"/>
        </w:rPr>
      </w:pPr>
    </w:p>
    <w:p>
      <w:pPr>
        <w:ind w:left="1580" w:hanging="670"/>
        <w:spacing w:after="0"/>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Broker or dealer registered under section 15 of the Act (15 U.S.C. 78o).</w:t>
      </w:r>
    </w:p>
    <w:p>
      <w:pPr>
        <w:spacing w:after="0" w:line="242" w:lineRule="exact"/>
        <w:rPr>
          <w:rFonts w:ascii="Arial" w:cs="Arial" w:eastAsia="Arial" w:hAnsi="Arial"/>
          <w:sz w:val="20"/>
          <w:szCs w:val="20"/>
          <w:color w:val="auto"/>
        </w:rPr>
      </w:pPr>
    </w:p>
    <w:p>
      <w:pPr>
        <w:ind w:left="1580" w:hanging="670"/>
        <w:spacing w:after="0"/>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Bank as defined in section 3(a)(6) of the Act (15 U.S.C. 78c).</w:t>
      </w:r>
    </w:p>
    <w:p>
      <w:pPr>
        <w:spacing w:after="0" w:line="242" w:lineRule="exact"/>
        <w:rPr>
          <w:rFonts w:ascii="Arial" w:cs="Arial" w:eastAsia="Arial" w:hAnsi="Arial"/>
          <w:sz w:val="20"/>
          <w:szCs w:val="20"/>
          <w:color w:val="auto"/>
        </w:rPr>
      </w:pPr>
    </w:p>
    <w:p>
      <w:pPr>
        <w:ind w:left="1580" w:hanging="670"/>
        <w:spacing w:after="0"/>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Insurance company as defined in section 3(a)(19) of the Act (15 U.S.C. 78c).</w:t>
      </w:r>
    </w:p>
    <w:p>
      <w:pPr>
        <w:spacing w:after="0" w:line="242" w:lineRule="exact"/>
        <w:rPr>
          <w:rFonts w:ascii="Arial" w:cs="Arial" w:eastAsia="Arial" w:hAnsi="Arial"/>
          <w:sz w:val="20"/>
          <w:szCs w:val="20"/>
          <w:color w:val="auto"/>
        </w:rPr>
      </w:pPr>
    </w:p>
    <w:p>
      <w:pPr>
        <w:ind w:left="1580" w:hanging="670"/>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65" w:lineRule="exact"/>
        <w:rPr>
          <w:rFonts w:ascii="Arial" w:cs="Arial" w:eastAsia="Arial" w:hAnsi="Arial"/>
          <w:sz w:val="18"/>
          <w:szCs w:val="18"/>
          <w:color w:val="auto"/>
        </w:rPr>
      </w:pPr>
    </w:p>
    <w:p>
      <w:pPr>
        <w:ind w:left="1580" w:hanging="670"/>
        <w:spacing w:after="0"/>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An investment adviser in accordance with § 240.13d-1(b)(1)(ii)(E);</w:t>
      </w:r>
    </w:p>
    <w:p>
      <w:pPr>
        <w:spacing w:after="0" w:line="242" w:lineRule="exact"/>
        <w:rPr>
          <w:rFonts w:ascii="Arial" w:cs="Arial" w:eastAsia="Arial" w:hAnsi="Arial"/>
          <w:sz w:val="20"/>
          <w:szCs w:val="20"/>
          <w:color w:val="auto"/>
        </w:rPr>
      </w:pPr>
    </w:p>
    <w:p>
      <w:pPr>
        <w:ind w:left="1580" w:hanging="670"/>
        <w:spacing w:after="0"/>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An employee benefit plan or endowment fund in accordance with § 240.13d-1(b)(1)(ii)(F);</w:t>
      </w:r>
    </w:p>
    <w:p>
      <w:pPr>
        <w:spacing w:after="0" w:line="242" w:lineRule="exact"/>
        <w:rPr>
          <w:rFonts w:ascii="Arial" w:cs="Arial" w:eastAsia="Arial" w:hAnsi="Arial"/>
          <w:sz w:val="20"/>
          <w:szCs w:val="20"/>
          <w:color w:val="auto"/>
        </w:rPr>
      </w:pPr>
    </w:p>
    <w:p>
      <w:pPr>
        <w:ind w:left="1580" w:hanging="670"/>
        <w:spacing w:after="0"/>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A parent holding company or control person in accordance with §240.13d-1(b)(1)(ii)(G);</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580" w:hanging="670"/>
        <w:spacing w:after="0"/>
        <w:tabs>
          <w:tab w:leader="none" w:pos="15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[_]    A savings association as defined in Section 3(b) of the Federal Deposit Insurance Act (12 U.S.C.1813);</w:t>
      </w:r>
    </w:p>
    <w:p>
      <w:pPr>
        <w:spacing w:after="0" w:line="254" w:lineRule="exact"/>
        <w:rPr>
          <w:rFonts w:ascii="Arial" w:cs="Arial" w:eastAsia="Arial" w:hAnsi="Arial"/>
          <w:sz w:val="19"/>
          <w:szCs w:val="19"/>
          <w:color w:val="auto"/>
        </w:rPr>
      </w:pPr>
    </w:p>
    <w:p>
      <w:pPr>
        <w:ind w:left="2160" w:right="100" w:hanging="1250"/>
        <w:spacing w:after="0" w:line="260" w:lineRule="auto"/>
        <w:tabs>
          <w:tab w:leader="none" w:pos="1593"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A church plan that is excluded from the definition of an investment company under section 3(c)(14) of the Investment Company Act of 1940 (15 U.S.C. 80a-3);</w:t>
      </w:r>
    </w:p>
    <w:p>
      <w:pPr>
        <w:spacing w:after="0" w:line="190" w:lineRule="exact"/>
        <w:rPr>
          <w:rFonts w:ascii="Arial" w:cs="Arial" w:eastAsia="Arial" w:hAnsi="Arial"/>
          <w:sz w:val="20"/>
          <w:szCs w:val="20"/>
          <w:color w:val="auto"/>
        </w:rPr>
      </w:pPr>
    </w:p>
    <w:p>
      <w:pPr>
        <w:ind w:left="1580" w:hanging="670"/>
        <w:spacing w:after="0"/>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A non-U.S. institution in accordance with §240.13d-1(b)(1)(ii)(J);</w:t>
      </w:r>
    </w:p>
    <w:p>
      <w:pPr>
        <w:spacing w:after="0" w:line="242" w:lineRule="exact"/>
        <w:rPr>
          <w:rFonts w:ascii="Arial" w:cs="Arial" w:eastAsia="Arial" w:hAnsi="Arial"/>
          <w:sz w:val="20"/>
          <w:szCs w:val="20"/>
          <w:color w:val="auto"/>
        </w:rPr>
      </w:pPr>
    </w:p>
    <w:p>
      <w:pPr>
        <w:ind w:left="2160" w:right="200" w:hanging="1250"/>
        <w:spacing w:after="0" w:line="260" w:lineRule="auto"/>
        <w:tabs>
          <w:tab w:leader="none" w:pos="1593" w:val="left"/>
        </w:tabs>
        <w:numPr>
          <w:ilvl w:val="0"/>
          <w:numId w:val="25"/>
        </w:numPr>
        <w:rPr>
          <w:rFonts w:ascii="Arial" w:cs="Arial" w:eastAsia="Arial" w:hAnsi="Arial"/>
          <w:sz w:val="20"/>
          <w:szCs w:val="20"/>
          <w:color w:val="auto"/>
        </w:rPr>
      </w:pPr>
      <w:r>
        <w:rPr>
          <w:rFonts w:ascii="Arial" w:cs="Arial" w:eastAsia="Arial" w:hAnsi="Arial"/>
          <w:sz w:val="20"/>
          <w:szCs w:val="20"/>
          <w:color w:val="auto"/>
        </w:rPr>
        <w:t>[_]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285750</wp:posOffset>
            </wp:positionV>
            <wp:extent cx="6060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748665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420" w:top="717" w:right="819" w:bottom="1440" w:gutter="0" w:footer="0" w:header="0"/>
        </w:sectPr>
      </w:pPr>
    </w:p>
    <w:bookmarkStart w:id="9" w:name="page10"/>
    <w:bookmarkEnd w:id="9"/>
    <w:p>
      <w:pPr>
        <w:ind w:left="100"/>
        <w:spacing w:after="0"/>
        <w:tabs>
          <w:tab w:leader="none" w:pos="122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Ownership.</w:t>
      </w:r>
    </w:p>
    <w:p>
      <w:pPr>
        <w:spacing w:after="0" w:line="229" w:lineRule="exact"/>
        <w:rPr>
          <w:sz w:val="20"/>
          <w:szCs w:val="20"/>
          <w:color w:val="auto"/>
        </w:rPr>
      </w:pPr>
    </w:p>
    <w:p>
      <w:pPr>
        <w:ind w:left="1120" w:right="640"/>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Vellar Opportunities Fund Master, Ltd.:</w:t>
      </w:r>
    </w:p>
    <w:p>
      <w:pPr>
        <w:spacing w:after="0" w:line="16" w:lineRule="exact"/>
        <w:rPr>
          <w:sz w:val="20"/>
          <w:szCs w:val="20"/>
          <w:color w:val="auto"/>
        </w:rPr>
      </w:pPr>
    </w:p>
    <w:p>
      <w:pPr>
        <w:ind w:left="1680" w:right="7300" w:hanging="562"/>
        <w:spacing w:after="0" w:line="498" w:lineRule="auto"/>
        <w:tabs>
          <w:tab w:leader="none" w:pos="16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Amount beneficially owned: 0</w:t>
      </w:r>
    </w:p>
    <w:p>
      <w:pPr>
        <w:spacing w:after="0" w:line="1" w:lineRule="exact"/>
        <w:rPr>
          <w:rFonts w:ascii="Arial" w:cs="Arial" w:eastAsia="Arial" w:hAnsi="Arial"/>
          <w:sz w:val="20"/>
          <w:szCs w:val="20"/>
          <w:color w:val="auto"/>
        </w:rPr>
      </w:pPr>
    </w:p>
    <w:p>
      <w:pPr>
        <w:ind w:left="1680" w:right="8260" w:hanging="562"/>
        <w:spacing w:after="0" w:line="507" w:lineRule="auto"/>
        <w:tabs>
          <w:tab w:leader="none" w:pos="16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Percent of class: 0%</w:t>
      </w:r>
    </w:p>
    <w:p>
      <w:pPr>
        <w:ind w:left="1680" w:hanging="562"/>
        <w:spacing w:after="0"/>
        <w:tabs>
          <w:tab w:leader="none" w:pos="16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-906145</wp:posOffset>
            </wp:positionV>
            <wp:extent cx="6129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-288925</wp:posOffset>
            </wp:positionV>
            <wp:extent cx="61290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255"/>
        </w:trPr>
        <w:tc>
          <w:tcPr>
            <w:tcW w:w="440" w:type="dxa"/>
            <w:vAlign w:val="bottom"/>
          </w:tcPr>
          <w:p>
            <w:pPr>
              <w:spacing w:after="0"/>
              <w:rPr>
                <w:sz w:val="20"/>
                <w:szCs w:val="20"/>
                <w:color w:val="auto"/>
              </w:rPr>
            </w:pPr>
            <w:r>
              <w:rPr>
                <w:rFonts w:ascii="Arial" w:cs="Arial" w:eastAsia="Arial" w:hAnsi="Arial"/>
                <w:sz w:val="20"/>
                <w:szCs w:val="20"/>
                <w:color w:val="auto"/>
              </w:rPr>
              <w:t>(i)</w:t>
            </w:r>
          </w:p>
        </w:tc>
        <w:tc>
          <w:tcPr>
            <w:tcW w:w="6560" w:type="dxa"/>
            <w:vAlign w:val="bottom"/>
          </w:tcPr>
          <w:p>
            <w:pPr>
              <w:ind w:left="140"/>
              <w:spacing w:after="0"/>
              <w:rPr>
                <w:sz w:val="20"/>
                <w:szCs w:val="20"/>
                <w:color w:val="auto"/>
              </w:rPr>
            </w:pPr>
            <w:r>
              <w:rPr>
                <w:rFonts w:ascii="Arial" w:cs="Arial" w:eastAsia="Arial" w:hAnsi="Arial"/>
                <w:sz w:val="20"/>
                <w:szCs w:val="20"/>
                <w:color w:val="auto"/>
              </w:rPr>
              <w:t>Sole power to vote or to direct the vote</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w:t>
            </w:r>
          </w:p>
        </w:tc>
        <w:tc>
          <w:tcPr>
            <w:tcW w:w="6560" w:type="dxa"/>
            <w:vAlign w:val="bottom"/>
          </w:tcPr>
          <w:p>
            <w:pPr>
              <w:ind w:left="140"/>
              <w:spacing w:after="0"/>
              <w:rPr>
                <w:sz w:val="20"/>
                <w:szCs w:val="20"/>
                <w:color w:val="auto"/>
              </w:rPr>
            </w:pPr>
            <w:r>
              <w:rPr>
                <w:rFonts w:ascii="Arial" w:cs="Arial" w:eastAsia="Arial" w:hAnsi="Arial"/>
                <w:sz w:val="20"/>
                <w:szCs w:val="20"/>
                <w:color w:val="auto"/>
              </w:rPr>
              <w:t>Shared power to vote or to direct the vote</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(iii)</w:t>
            </w:r>
          </w:p>
        </w:tc>
        <w:tc>
          <w:tcPr>
            <w:tcW w:w="6560" w:type="dxa"/>
            <w:vAlign w:val="bottom"/>
          </w:tcPr>
          <w:p>
            <w:pPr>
              <w:ind w:left="140"/>
              <w:spacing w:after="0"/>
              <w:rPr>
                <w:sz w:val="20"/>
                <w:szCs w:val="20"/>
                <w:color w:val="auto"/>
              </w:rPr>
            </w:pPr>
            <w:r>
              <w:rPr>
                <w:rFonts w:ascii="Arial" w:cs="Arial" w:eastAsia="Arial" w:hAnsi="Arial"/>
                <w:sz w:val="20"/>
                <w:szCs w:val="20"/>
                <w:color w:val="auto"/>
              </w:rPr>
              <w:t>Sole power to dispose or to direct the disposition of</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80"/>
        </w:trPr>
        <w:tc>
          <w:tcPr>
            <w:tcW w:w="440" w:type="dxa"/>
            <w:vAlign w:val="bottom"/>
          </w:tcPr>
          <w:p>
            <w:pPr>
              <w:spacing w:after="0"/>
              <w:rPr>
                <w:sz w:val="20"/>
                <w:szCs w:val="20"/>
                <w:color w:val="auto"/>
              </w:rPr>
            </w:pPr>
            <w:r>
              <w:rPr>
                <w:rFonts w:ascii="Arial" w:cs="Arial" w:eastAsia="Arial" w:hAnsi="Arial"/>
                <w:sz w:val="20"/>
                <w:szCs w:val="20"/>
                <w:color w:val="auto"/>
              </w:rPr>
              <w:t>(iv)</w:t>
            </w:r>
          </w:p>
        </w:tc>
        <w:tc>
          <w:tcPr>
            <w:tcW w:w="6560" w:type="dxa"/>
            <w:vAlign w:val="bottom"/>
          </w:tcPr>
          <w:p>
            <w:pPr>
              <w:ind w:left="140"/>
              <w:spacing w:after="0"/>
              <w:rPr>
                <w:sz w:val="20"/>
                <w:szCs w:val="20"/>
                <w:color w:val="auto"/>
              </w:rPr>
            </w:pPr>
            <w:r>
              <w:rPr>
                <w:rFonts w:ascii="Arial" w:cs="Arial" w:eastAsia="Arial" w:hAnsi="Arial"/>
                <w:sz w:val="20"/>
                <w:szCs w:val="20"/>
                <w:color w:val="auto"/>
              </w:rPr>
              <w:t>Shared power to dispose or to direct the disposition of</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0  .</w:t>
            </w:r>
          </w:p>
        </w:tc>
      </w:tr>
    </w:tbl>
    <w:p>
      <w:pPr>
        <w:spacing w:after="0" w:line="200" w:lineRule="exact"/>
        <w:rPr>
          <w:sz w:val="20"/>
          <w:szCs w:val="20"/>
          <w:color w:val="auto"/>
        </w:rPr>
      </w:pPr>
    </w:p>
    <w:p>
      <w:pPr>
        <w:spacing w:after="0" w:line="256" w:lineRule="exact"/>
        <w:rPr>
          <w:sz w:val="20"/>
          <w:szCs w:val="20"/>
          <w:color w:val="auto"/>
        </w:rPr>
      </w:pPr>
    </w:p>
    <w:p>
      <w:pPr>
        <w:ind w:left="1680" w:right="7300" w:hanging="562"/>
        <w:spacing w:after="0" w:line="507" w:lineRule="auto"/>
        <w:tabs>
          <w:tab w:leader="none" w:pos="16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Amount beneficially owned: 0</w:t>
      </w:r>
    </w:p>
    <w:p>
      <w:pPr>
        <w:ind w:left="1680" w:right="8260" w:hanging="562"/>
        <w:spacing w:after="0" w:line="507" w:lineRule="auto"/>
        <w:tabs>
          <w:tab w:leader="none" w:pos="16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Percent of class: 0%</w:t>
      </w:r>
    </w:p>
    <w:p>
      <w:pPr>
        <w:ind w:left="1680" w:hanging="562"/>
        <w:spacing w:after="0"/>
        <w:tabs>
          <w:tab w:leader="none" w:pos="16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-906145</wp:posOffset>
            </wp:positionV>
            <wp:extent cx="6129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-288925</wp:posOffset>
            </wp:positionV>
            <wp:extent cx="6129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255"/>
        </w:trPr>
        <w:tc>
          <w:tcPr>
            <w:tcW w:w="440" w:type="dxa"/>
            <w:vAlign w:val="bottom"/>
          </w:tcPr>
          <w:p>
            <w:pPr>
              <w:spacing w:after="0"/>
              <w:rPr>
                <w:sz w:val="20"/>
                <w:szCs w:val="20"/>
                <w:color w:val="auto"/>
              </w:rPr>
            </w:pPr>
            <w:r>
              <w:rPr>
                <w:rFonts w:ascii="Arial" w:cs="Arial" w:eastAsia="Arial" w:hAnsi="Arial"/>
                <w:sz w:val="20"/>
                <w:szCs w:val="20"/>
                <w:color w:val="auto"/>
              </w:rPr>
              <w:t>(i)</w:t>
            </w:r>
          </w:p>
        </w:tc>
        <w:tc>
          <w:tcPr>
            <w:tcW w:w="6560" w:type="dxa"/>
            <w:vAlign w:val="bottom"/>
          </w:tcPr>
          <w:p>
            <w:pPr>
              <w:ind w:left="140"/>
              <w:spacing w:after="0"/>
              <w:rPr>
                <w:sz w:val="20"/>
                <w:szCs w:val="20"/>
                <w:color w:val="auto"/>
              </w:rPr>
            </w:pPr>
            <w:r>
              <w:rPr>
                <w:rFonts w:ascii="Arial" w:cs="Arial" w:eastAsia="Arial" w:hAnsi="Arial"/>
                <w:sz w:val="20"/>
                <w:szCs w:val="20"/>
                <w:color w:val="auto"/>
              </w:rPr>
              <w:t>Sole power to vote or to direct the vote</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w:t>
            </w:r>
          </w:p>
        </w:tc>
        <w:tc>
          <w:tcPr>
            <w:tcW w:w="6560" w:type="dxa"/>
            <w:vAlign w:val="bottom"/>
          </w:tcPr>
          <w:p>
            <w:pPr>
              <w:ind w:left="140"/>
              <w:spacing w:after="0"/>
              <w:rPr>
                <w:sz w:val="20"/>
                <w:szCs w:val="20"/>
                <w:color w:val="auto"/>
              </w:rPr>
            </w:pPr>
            <w:r>
              <w:rPr>
                <w:rFonts w:ascii="Arial" w:cs="Arial" w:eastAsia="Arial" w:hAnsi="Arial"/>
                <w:sz w:val="20"/>
                <w:szCs w:val="20"/>
                <w:color w:val="auto"/>
              </w:rPr>
              <w:t>Shared power to vote or to direct the vote</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80"/>
        </w:trPr>
        <w:tc>
          <w:tcPr>
            <w:tcW w:w="440" w:type="dxa"/>
            <w:vAlign w:val="bottom"/>
          </w:tcPr>
          <w:p>
            <w:pPr>
              <w:spacing w:after="0"/>
              <w:rPr>
                <w:sz w:val="20"/>
                <w:szCs w:val="20"/>
                <w:color w:val="auto"/>
              </w:rPr>
            </w:pPr>
            <w:r>
              <w:rPr>
                <w:rFonts w:ascii="Arial" w:cs="Arial" w:eastAsia="Arial" w:hAnsi="Arial"/>
                <w:sz w:val="20"/>
                <w:szCs w:val="20"/>
                <w:color w:val="auto"/>
              </w:rPr>
              <w:t>(iii)</w:t>
            </w:r>
          </w:p>
        </w:tc>
        <w:tc>
          <w:tcPr>
            <w:tcW w:w="6560" w:type="dxa"/>
            <w:vAlign w:val="bottom"/>
          </w:tcPr>
          <w:p>
            <w:pPr>
              <w:ind w:left="140"/>
              <w:spacing w:after="0"/>
              <w:rPr>
                <w:sz w:val="20"/>
                <w:szCs w:val="20"/>
                <w:color w:val="auto"/>
              </w:rPr>
            </w:pPr>
            <w:r>
              <w:rPr>
                <w:rFonts w:ascii="Arial" w:cs="Arial" w:eastAsia="Arial" w:hAnsi="Arial"/>
                <w:sz w:val="20"/>
                <w:szCs w:val="20"/>
                <w:color w:val="auto"/>
              </w:rPr>
              <w:t>Sole power to dispose or to direct the disposition of</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5"/>
        </w:trPr>
        <w:tc>
          <w:tcPr>
            <w:tcW w:w="440" w:type="dxa"/>
            <w:vAlign w:val="bottom"/>
          </w:tcPr>
          <w:p>
            <w:pPr>
              <w:spacing w:after="0"/>
              <w:rPr>
                <w:sz w:val="20"/>
                <w:szCs w:val="20"/>
                <w:color w:val="auto"/>
              </w:rPr>
            </w:pPr>
            <w:r>
              <w:rPr>
                <w:rFonts w:ascii="Arial" w:cs="Arial" w:eastAsia="Arial" w:hAnsi="Arial"/>
                <w:sz w:val="20"/>
                <w:szCs w:val="20"/>
                <w:color w:val="auto"/>
              </w:rPr>
              <w:t>(iv)</w:t>
            </w:r>
          </w:p>
        </w:tc>
        <w:tc>
          <w:tcPr>
            <w:tcW w:w="6560" w:type="dxa"/>
            <w:vAlign w:val="bottom"/>
          </w:tcPr>
          <w:p>
            <w:pPr>
              <w:ind w:left="140"/>
              <w:spacing w:after="0"/>
              <w:rPr>
                <w:sz w:val="20"/>
                <w:szCs w:val="20"/>
                <w:color w:val="auto"/>
              </w:rPr>
            </w:pPr>
            <w:r>
              <w:rPr>
                <w:rFonts w:ascii="Arial" w:cs="Arial" w:eastAsia="Arial" w:hAnsi="Arial"/>
                <w:sz w:val="20"/>
                <w:szCs w:val="20"/>
                <w:color w:val="auto"/>
              </w:rPr>
              <w:t>Shared power to dispose or to direct the disposition of</w:t>
            </w:r>
          </w:p>
        </w:tc>
        <w:tc>
          <w:tcPr>
            <w:tcW w:w="2560" w:type="dxa"/>
            <w:vAlign w:val="bottom"/>
          </w:tcPr>
          <w:p>
            <w:pPr>
              <w:ind w:left="2040"/>
              <w:spacing w:after="0"/>
              <w:rPr>
                <w:sz w:val="20"/>
                <w:szCs w:val="20"/>
                <w:color w:val="auto"/>
              </w:rPr>
            </w:pPr>
            <w:r>
              <w:rPr>
                <w:rFonts w:ascii="Arial" w:cs="Arial" w:eastAsia="Arial" w:hAnsi="Arial"/>
                <w:sz w:val="20"/>
                <w:szCs w:val="20"/>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160655</wp:posOffset>
            </wp:positionV>
            <wp:extent cx="1423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680" w:right="7300" w:hanging="562"/>
        <w:spacing w:after="0" w:line="507" w:lineRule="auto"/>
        <w:tabs>
          <w:tab w:leader="none" w:pos="16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Amount beneficially owned: 0</w:t>
      </w:r>
    </w:p>
    <w:p>
      <w:pPr>
        <w:ind w:left="1680" w:right="8260" w:hanging="562"/>
        <w:spacing w:after="0" w:line="528" w:lineRule="auto"/>
        <w:tabs>
          <w:tab w:leader="none" w:pos="16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Percent of class: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-785495</wp:posOffset>
            </wp:positionV>
            <wp:extent cx="61290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-168275</wp:posOffset>
            </wp:positionV>
            <wp:extent cx="61290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10" w:name="page11"/>
    <w:bookmarkEnd w:id="10"/>
    <w:p>
      <w:pPr>
        <w:ind w:left="1680" w:hanging="562"/>
        <w:spacing w:after="0"/>
        <w:tabs>
          <w:tab w:leader="none" w:pos="16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43" w:lineRule="exact"/>
        <w:rPr>
          <w:sz w:val="20"/>
          <w:szCs w:val="20"/>
          <w:color w:val="auto"/>
        </w:rPr>
      </w:pPr>
    </w:p>
    <w:tbl>
      <w:tblPr>
        <w:tblLayout w:type="fixed"/>
        <w:tblInd w:w="1680" w:type="dxa"/>
        <w:tblCellMar>
          <w:top w:w="0" w:type="dxa"/>
          <w:left w:w="0" w:type="dxa"/>
          <w:bottom w:w="0" w:type="dxa"/>
          <w:right w:w="0" w:type="dxa"/>
        </w:tblCellMar>
      </w:tblPr>
      <w:tr>
        <w:trPr>
          <w:trHeight w:val="255"/>
        </w:trPr>
        <w:tc>
          <w:tcPr>
            <w:tcW w:w="440" w:type="dxa"/>
            <w:vAlign w:val="bottom"/>
          </w:tcPr>
          <w:p>
            <w:pPr>
              <w:spacing w:after="0"/>
              <w:rPr>
                <w:sz w:val="20"/>
                <w:szCs w:val="20"/>
                <w:color w:val="auto"/>
              </w:rPr>
            </w:pPr>
            <w:r>
              <w:rPr>
                <w:rFonts w:ascii="Arial" w:cs="Arial" w:eastAsia="Arial" w:hAnsi="Arial"/>
                <w:sz w:val="20"/>
                <w:szCs w:val="20"/>
                <w:color w:val="auto"/>
              </w:rPr>
              <w:t>(i)</w:t>
            </w:r>
          </w:p>
        </w:tc>
        <w:tc>
          <w:tcPr>
            <w:tcW w:w="6560" w:type="dxa"/>
            <w:vAlign w:val="bottom"/>
          </w:tcPr>
          <w:p>
            <w:pPr>
              <w:ind w:left="140"/>
              <w:spacing w:after="0"/>
              <w:rPr>
                <w:sz w:val="20"/>
                <w:szCs w:val="20"/>
                <w:color w:val="auto"/>
              </w:rPr>
            </w:pPr>
            <w:r>
              <w:rPr>
                <w:rFonts w:ascii="Arial" w:cs="Arial" w:eastAsia="Arial" w:hAnsi="Arial"/>
                <w:sz w:val="20"/>
                <w:szCs w:val="20"/>
                <w:color w:val="auto"/>
              </w:rPr>
              <w:t>Sole power to vote or to direct the vote</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w:t>
            </w:r>
          </w:p>
        </w:tc>
        <w:tc>
          <w:tcPr>
            <w:tcW w:w="6560" w:type="dxa"/>
            <w:vAlign w:val="bottom"/>
          </w:tcPr>
          <w:p>
            <w:pPr>
              <w:ind w:left="140"/>
              <w:spacing w:after="0"/>
              <w:rPr>
                <w:sz w:val="20"/>
                <w:szCs w:val="20"/>
                <w:color w:val="auto"/>
              </w:rPr>
            </w:pPr>
            <w:r>
              <w:rPr>
                <w:rFonts w:ascii="Arial" w:cs="Arial" w:eastAsia="Arial" w:hAnsi="Arial"/>
                <w:sz w:val="20"/>
                <w:szCs w:val="20"/>
                <w:color w:val="auto"/>
              </w:rPr>
              <w:t>Shared power to vote or to direct the vote</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(iii)</w:t>
            </w:r>
          </w:p>
        </w:tc>
        <w:tc>
          <w:tcPr>
            <w:tcW w:w="6560" w:type="dxa"/>
            <w:vAlign w:val="bottom"/>
          </w:tcPr>
          <w:p>
            <w:pPr>
              <w:ind w:left="140"/>
              <w:spacing w:after="0"/>
              <w:rPr>
                <w:sz w:val="20"/>
                <w:szCs w:val="20"/>
                <w:color w:val="auto"/>
              </w:rPr>
            </w:pPr>
            <w:r>
              <w:rPr>
                <w:rFonts w:ascii="Arial" w:cs="Arial" w:eastAsia="Arial" w:hAnsi="Arial"/>
                <w:sz w:val="20"/>
                <w:szCs w:val="20"/>
                <w:color w:val="auto"/>
              </w:rPr>
              <w:t>Sole power to dispose or to direct the disposition of</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5"/>
        </w:trPr>
        <w:tc>
          <w:tcPr>
            <w:tcW w:w="440" w:type="dxa"/>
            <w:vAlign w:val="bottom"/>
          </w:tcPr>
          <w:p>
            <w:pPr>
              <w:spacing w:after="0"/>
              <w:rPr>
                <w:sz w:val="20"/>
                <w:szCs w:val="20"/>
                <w:color w:val="auto"/>
              </w:rPr>
            </w:pPr>
            <w:r>
              <w:rPr>
                <w:rFonts w:ascii="Arial" w:cs="Arial" w:eastAsia="Arial" w:hAnsi="Arial"/>
                <w:sz w:val="20"/>
                <w:szCs w:val="20"/>
                <w:color w:val="auto"/>
              </w:rPr>
              <w:t>(iv)</w:t>
            </w:r>
          </w:p>
        </w:tc>
        <w:tc>
          <w:tcPr>
            <w:tcW w:w="6560" w:type="dxa"/>
            <w:vAlign w:val="bottom"/>
          </w:tcPr>
          <w:p>
            <w:pPr>
              <w:ind w:left="140"/>
              <w:spacing w:after="0"/>
              <w:rPr>
                <w:sz w:val="20"/>
                <w:szCs w:val="20"/>
                <w:color w:val="auto"/>
              </w:rPr>
            </w:pPr>
            <w:r>
              <w:rPr>
                <w:rFonts w:ascii="Arial" w:cs="Arial" w:eastAsia="Arial" w:hAnsi="Arial"/>
                <w:sz w:val="20"/>
                <w:szCs w:val="20"/>
                <w:color w:val="auto"/>
              </w:rPr>
              <w:t>Shared power to dispose or to direct the disposition of</w:t>
            </w:r>
          </w:p>
        </w:tc>
        <w:tc>
          <w:tcPr>
            <w:tcW w:w="2560" w:type="dxa"/>
            <w:vAlign w:val="bottom"/>
          </w:tcPr>
          <w:p>
            <w:pPr>
              <w:ind w:left="2040"/>
              <w:spacing w:after="0"/>
              <w:rPr>
                <w:sz w:val="20"/>
                <w:szCs w:val="20"/>
                <w:color w:val="auto"/>
              </w:rPr>
            </w:pPr>
            <w:r>
              <w:rPr>
                <w:rFonts w:ascii="Arial" w:cs="Arial" w:eastAsia="Arial" w:hAnsi="Arial"/>
                <w:sz w:val="20"/>
                <w:szCs w:val="20"/>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160020</wp:posOffset>
            </wp:positionV>
            <wp:extent cx="1423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680" w:right="7300" w:hanging="562"/>
        <w:spacing w:after="0" w:line="507" w:lineRule="auto"/>
        <w:tabs>
          <w:tab w:leader="none" w:pos="16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Amount beneficially owned: 0</w:t>
      </w:r>
    </w:p>
    <w:p>
      <w:pPr>
        <w:ind w:left="1680" w:right="8260" w:hanging="562"/>
        <w:spacing w:after="0" w:line="507" w:lineRule="auto"/>
        <w:tabs>
          <w:tab w:leader="none" w:pos="16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Percent of class: 0%</w:t>
      </w:r>
    </w:p>
    <w:p>
      <w:pPr>
        <w:ind w:left="1680" w:hanging="562"/>
        <w:spacing w:after="0"/>
        <w:tabs>
          <w:tab w:leader="none" w:pos="16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-906145</wp:posOffset>
            </wp:positionV>
            <wp:extent cx="61290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-288925</wp:posOffset>
            </wp:positionV>
            <wp:extent cx="61290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255"/>
        </w:trPr>
        <w:tc>
          <w:tcPr>
            <w:tcW w:w="440" w:type="dxa"/>
            <w:vAlign w:val="bottom"/>
          </w:tcPr>
          <w:p>
            <w:pPr>
              <w:spacing w:after="0"/>
              <w:rPr>
                <w:sz w:val="20"/>
                <w:szCs w:val="20"/>
                <w:color w:val="auto"/>
              </w:rPr>
            </w:pPr>
            <w:r>
              <w:rPr>
                <w:rFonts w:ascii="Arial" w:cs="Arial" w:eastAsia="Arial" w:hAnsi="Arial"/>
                <w:sz w:val="20"/>
                <w:szCs w:val="20"/>
                <w:color w:val="auto"/>
              </w:rPr>
              <w:t>(i)</w:t>
            </w:r>
          </w:p>
        </w:tc>
        <w:tc>
          <w:tcPr>
            <w:tcW w:w="6560" w:type="dxa"/>
            <w:vAlign w:val="bottom"/>
          </w:tcPr>
          <w:p>
            <w:pPr>
              <w:ind w:left="140"/>
              <w:spacing w:after="0"/>
              <w:rPr>
                <w:sz w:val="20"/>
                <w:szCs w:val="20"/>
                <w:color w:val="auto"/>
              </w:rPr>
            </w:pPr>
            <w:r>
              <w:rPr>
                <w:rFonts w:ascii="Arial" w:cs="Arial" w:eastAsia="Arial" w:hAnsi="Arial"/>
                <w:sz w:val="20"/>
                <w:szCs w:val="20"/>
                <w:color w:val="auto"/>
              </w:rPr>
              <w:t>Sole power to vote or to direct the vote</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w:t>
            </w:r>
          </w:p>
        </w:tc>
        <w:tc>
          <w:tcPr>
            <w:tcW w:w="6560" w:type="dxa"/>
            <w:vAlign w:val="bottom"/>
          </w:tcPr>
          <w:p>
            <w:pPr>
              <w:ind w:left="140"/>
              <w:spacing w:after="0"/>
              <w:rPr>
                <w:sz w:val="20"/>
                <w:szCs w:val="20"/>
                <w:color w:val="auto"/>
              </w:rPr>
            </w:pPr>
            <w:r>
              <w:rPr>
                <w:rFonts w:ascii="Arial" w:cs="Arial" w:eastAsia="Arial" w:hAnsi="Arial"/>
                <w:sz w:val="20"/>
                <w:szCs w:val="20"/>
                <w:color w:val="auto"/>
              </w:rPr>
              <w:t>Shared power to vote or to direct the vote</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(iii)</w:t>
            </w:r>
          </w:p>
        </w:tc>
        <w:tc>
          <w:tcPr>
            <w:tcW w:w="6560" w:type="dxa"/>
            <w:vAlign w:val="bottom"/>
          </w:tcPr>
          <w:p>
            <w:pPr>
              <w:ind w:left="140"/>
              <w:spacing w:after="0"/>
              <w:rPr>
                <w:sz w:val="20"/>
                <w:szCs w:val="20"/>
                <w:color w:val="auto"/>
              </w:rPr>
            </w:pPr>
            <w:r>
              <w:rPr>
                <w:rFonts w:ascii="Arial" w:cs="Arial" w:eastAsia="Arial" w:hAnsi="Arial"/>
                <w:sz w:val="20"/>
                <w:szCs w:val="20"/>
                <w:color w:val="auto"/>
              </w:rPr>
              <w:t>Sole power to dispose or to direct the disposition of</w:t>
            </w:r>
          </w:p>
        </w:tc>
        <w:tc>
          <w:tcPr>
            <w:tcW w:w="2560" w:type="dxa"/>
            <w:vAlign w:val="bottom"/>
            <w:tcBorders>
              <w:bottom w:val="single" w:sz="8" w:color="auto"/>
            </w:tcBorders>
          </w:tcPr>
          <w:p>
            <w:pPr>
              <w:ind w:left="2040"/>
              <w:spacing w:after="0"/>
              <w:rPr>
                <w:sz w:val="20"/>
                <w:szCs w:val="20"/>
                <w:color w:val="auto"/>
              </w:rPr>
            </w:pPr>
            <w:r>
              <w:rPr>
                <w:rFonts w:ascii="Arial" w:cs="Arial" w:eastAsia="Arial" w:hAnsi="Arial"/>
                <w:sz w:val="20"/>
                <w:szCs w:val="20"/>
                <w:color w:val="auto"/>
              </w:rPr>
              <w:t>0</w:t>
            </w:r>
          </w:p>
        </w:tc>
      </w:tr>
      <w:tr>
        <w:trPr>
          <w:trHeight w:val="475"/>
        </w:trPr>
        <w:tc>
          <w:tcPr>
            <w:tcW w:w="440" w:type="dxa"/>
            <w:vAlign w:val="bottom"/>
          </w:tcPr>
          <w:p>
            <w:pPr>
              <w:spacing w:after="0"/>
              <w:rPr>
                <w:sz w:val="20"/>
                <w:szCs w:val="20"/>
                <w:color w:val="auto"/>
              </w:rPr>
            </w:pPr>
            <w:r>
              <w:rPr>
                <w:rFonts w:ascii="Arial" w:cs="Arial" w:eastAsia="Arial" w:hAnsi="Arial"/>
                <w:sz w:val="20"/>
                <w:szCs w:val="20"/>
                <w:color w:val="auto"/>
              </w:rPr>
              <w:t>(iv)</w:t>
            </w:r>
          </w:p>
        </w:tc>
        <w:tc>
          <w:tcPr>
            <w:tcW w:w="6560" w:type="dxa"/>
            <w:vAlign w:val="bottom"/>
          </w:tcPr>
          <w:p>
            <w:pPr>
              <w:ind w:left="140"/>
              <w:spacing w:after="0"/>
              <w:rPr>
                <w:sz w:val="20"/>
                <w:szCs w:val="20"/>
                <w:color w:val="auto"/>
              </w:rPr>
            </w:pPr>
            <w:r>
              <w:rPr>
                <w:rFonts w:ascii="Arial" w:cs="Arial" w:eastAsia="Arial" w:hAnsi="Arial"/>
                <w:sz w:val="20"/>
                <w:szCs w:val="20"/>
                <w:color w:val="auto"/>
              </w:rPr>
              <w:t>Shared power to dispose or to direct the disposition of</w:t>
            </w:r>
          </w:p>
        </w:tc>
        <w:tc>
          <w:tcPr>
            <w:tcW w:w="2560" w:type="dxa"/>
            <w:vAlign w:val="bottom"/>
          </w:tcPr>
          <w:p>
            <w:pPr>
              <w:ind w:left="2040"/>
              <w:spacing w:after="0"/>
              <w:rPr>
                <w:sz w:val="20"/>
                <w:szCs w:val="20"/>
                <w:color w:val="auto"/>
              </w:rPr>
            </w:pPr>
            <w:r>
              <w:rPr>
                <w:rFonts w:ascii="Arial" w:cs="Arial" w:eastAsia="Arial" w:hAnsi="Arial"/>
                <w:sz w:val="20"/>
                <w:szCs w:val="20"/>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160655</wp:posOffset>
            </wp:positionV>
            <wp:extent cx="142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680" w:right="7300" w:hanging="562"/>
        <w:spacing w:after="0" w:line="507" w:lineRule="auto"/>
        <w:tabs>
          <w:tab w:leader="none" w:pos="16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Amount beneficially owned: 0</w:t>
      </w:r>
    </w:p>
    <w:p>
      <w:pPr>
        <w:ind w:left="1680" w:right="8260" w:hanging="562"/>
        <w:spacing w:after="0" w:line="507" w:lineRule="auto"/>
        <w:tabs>
          <w:tab w:leader="none" w:pos="16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Percent of class: 0%</w:t>
      </w:r>
    </w:p>
    <w:p>
      <w:pPr>
        <w:ind w:left="1680" w:hanging="562"/>
        <w:spacing w:after="0"/>
        <w:tabs>
          <w:tab w:leader="none" w:pos="16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-906145</wp:posOffset>
            </wp:positionV>
            <wp:extent cx="61290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-288925</wp:posOffset>
            </wp:positionV>
            <wp:extent cx="61290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20" w:type="dxa"/>
            <w:vAlign w:val="bottom"/>
          </w:tcPr>
          <w:p>
            <w:pPr>
              <w:ind w:left="1680"/>
              <w:spacing w:after="0"/>
              <w:rPr>
                <w:sz w:val="20"/>
                <w:szCs w:val="20"/>
                <w:color w:val="auto"/>
              </w:rPr>
            </w:pPr>
            <w:r>
              <w:rPr>
                <w:rFonts w:ascii="Arial" w:cs="Arial" w:eastAsia="Arial" w:hAnsi="Arial"/>
                <w:sz w:val="20"/>
                <w:szCs w:val="20"/>
                <w:color w:val="auto"/>
              </w:rPr>
              <w:t>(i)</w:t>
            </w:r>
          </w:p>
        </w:tc>
        <w:tc>
          <w:tcPr>
            <w:tcW w:w="6660" w:type="dxa"/>
            <w:vAlign w:val="bottom"/>
          </w:tcPr>
          <w:p>
            <w:pPr>
              <w:ind w:left="140"/>
              <w:spacing w:after="0"/>
              <w:rPr>
                <w:sz w:val="20"/>
                <w:szCs w:val="20"/>
                <w:color w:val="auto"/>
              </w:rPr>
            </w:pPr>
            <w:r>
              <w:rPr>
                <w:rFonts w:ascii="Arial" w:cs="Arial" w:eastAsia="Arial" w:hAnsi="Arial"/>
                <w:sz w:val="20"/>
                <w:szCs w:val="20"/>
                <w:color w:val="auto"/>
              </w:rPr>
              <w:t>Sole power to vote or to direct the vote</w:t>
            </w:r>
          </w:p>
        </w:tc>
        <w:tc>
          <w:tcPr>
            <w:tcW w:w="2140" w:type="dxa"/>
            <w:vAlign w:val="bottom"/>
            <w:tcBorders>
              <w:bottom w:val="single" w:sz="8" w:color="auto"/>
            </w:tcBorders>
          </w:tcPr>
          <w:p>
            <w:pPr>
              <w:ind w:left="1940"/>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spacing w:after="0"/>
              <w:rPr>
                <w:sz w:val="22"/>
                <w:szCs w:val="22"/>
                <w:color w:val="auto"/>
              </w:rPr>
            </w:pPr>
          </w:p>
        </w:tc>
      </w:tr>
      <w:tr>
        <w:trPr>
          <w:trHeight w:val="479"/>
        </w:trPr>
        <w:tc>
          <w:tcPr>
            <w:tcW w:w="2120" w:type="dxa"/>
            <w:vAlign w:val="bottom"/>
          </w:tcPr>
          <w:p>
            <w:pPr>
              <w:ind w:left="1680"/>
              <w:spacing w:after="0"/>
              <w:rPr>
                <w:sz w:val="20"/>
                <w:szCs w:val="20"/>
                <w:color w:val="auto"/>
              </w:rPr>
            </w:pPr>
            <w:r>
              <w:rPr>
                <w:rFonts w:ascii="Arial" w:cs="Arial" w:eastAsia="Arial" w:hAnsi="Arial"/>
                <w:sz w:val="20"/>
                <w:szCs w:val="20"/>
                <w:color w:val="auto"/>
              </w:rPr>
              <w:t>(ii)</w:t>
            </w:r>
          </w:p>
        </w:tc>
        <w:tc>
          <w:tcPr>
            <w:tcW w:w="6660" w:type="dxa"/>
            <w:vAlign w:val="bottom"/>
          </w:tcPr>
          <w:p>
            <w:pPr>
              <w:ind w:left="140"/>
              <w:spacing w:after="0"/>
              <w:rPr>
                <w:sz w:val="20"/>
                <w:szCs w:val="20"/>
                <w:color w:val="auto"/>
              </w:rPr>
            </w:pPr>
            <w:r>
              <w:rPr>
                <w:rFonts w:ascii="Arial" w:cs="Arial" w:eastAsia="Arial" w:hAnsi="Arial"/>
                <w:sz w:val="20"/>
                <w:szCs w:val="20"/>
                <w:color w:val="auto"/>
              </w:rPr>
              <w:t>Shared power to vote or to direct the vote</w:t>
            </w:r>
          </w:p>
        </w:tc>
        <w:tc>
          <w:tcPr>
            <w:tcW w:w="2140" w:type="dxa"/>
            <w:vAlign w:val="bottom"/>
            <w:tcBorders>
              <w:bottom w:val="single" w:sz="8" w:color="auto"/>
            </w:tcBorders>
          </w:tcPr>
          <w:p>
            <w:pPr>
              <w:ind w:left="1940"/>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spacing w:after="0"/>
              <w:rPr>
                <w:sz w:val="24"/>
                <w:szCs w:val="24"/>
                <w:color w:val="auto"/>
              </w:rPr>
            </w:pPr>
          </w:p>
        </w:tc>
      </w:tr>
      <w:tr>
        <w:trPr>
          <w:trHeight w:val="480"/>
        </w:trPr>
        <w:tc>
          <w:tcPr>
            <w:tcW w:w="2120" w:type="dxa"/>
            <w:vAlign w:val="bottom"/>
          </w:tcPr>
          <w:p>
            <w:pPr>
              <w:ind w:left="1680"/>
              <w:spacing w:after="0"/>
              <w:rPr>
                <w:sz w:val="20"/>
                <w:szCs w:val="20"/>
                <w:color w:val="auto"/>
              </w:rPr>
            </w:pPr>
            <w:r>
              <w:rPr>
                <w:rFonts w:ascii="Arial" w:cs="Arial" w:eastAsia="Arial" w:hAnsi="Arial"/>
                <w:sz w:val="20"/>
                <w:szCs w:val="20"/>
                <w:color w:val="auto"/>
              </w:rPr>
              <w:t>(iii)</w:t>
            </w:r>
          </w:p>
        </w:tc>
        <w:tc>
          <w:tcPr>
            <w:tcW w:w="6660" w:type="dxa"/>
            <w:vAlign w:val="bottom"/>
          </w:tcPr>
          <w:p>
            <w:pPr>
              <w:ind w:left="140"/>
              <w:spacing w:after="0"/>
              <w:rPr>
                <w:sz w:val="20"/>
                <w:szCs w:val="20"/>
                <w:color w:val="auto"/>
              </w:rPr>
            </w:pPr>
            <w:r>
              <w:rPr>
                <w:rFonts w:ascii="Arial" w:cs="Arial" w:eastAsia="Arial" w:hAnsi="Arial"/>
                <w:sz w:val="20"/>
                <w:szCs w:val="20"/>
                <w:color w:val="auto"/>
              </w:rPr>
              <w:t>Sole power to dispose or to direct the disposition of</w:t>
            </w:r>
          </w:p>
        </w:tc>
        <w:tc>
          <w:tcPr>
            <w:tcW w:w="2140" w:type="dxa"/>
            <w:vAlign w:val="bottom"/>
            <w:tcBorders>
              <w:bottom w:val="single" w:sz="8" w:color="auto"/>
            </w:tcBorders>
          </w:tcPr>
          <w:p>
            <w:pPr>
              <w:ind w:left="1940"/>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spacing w:after="0"/>
              <w:rPr>
                <w:sz w:val="24"/>
                <w:szCs w:val="24"/>
                <w:color w:val="auto"/>
              </w:rPr>
            </w:pPr>
          </w:p>
        </w:tc>
      </w:tr>
      <w:tr>
        <w:trPr>
          <w:trHeight w:val="475"/>
        </w:trPr>
        <w:tc>
          <w:tcPr>
            <w:tcW w:w="2120" w:type="dxa"/>
            <w:vAlign w:val="bottom"/>
          </w:tcPr>
          <w:p>
            <w:pPr>
              <w:ind w:left="1680"/>
              <w:spacing w:after="0"/>
              <w:rPr>
                <w:sz w:val="20"/>
                <w:szCs w:val="20"/>
                <w:color w:val="auto"/>
              </w:rPr>
            </w:pPr>
            <w:r>
              <w:rPr>
                <w:rFonts w:ascii="Arial" w:cs="Arial" w:eastAsia="Arial" w:hAnsi="Arial"/>
                <w:sz w:val="20"/>
                <w:szCs w:val="20"/>
                <w:color w:val="auto"/>
              </w:rPr>
              <w:t>(iv)</w:t>
            </w:r>
          </w:p>
        </w:tc>
        <w:tc>
          <w:tcPr>
            <w:tcW w:w="6660" w:type="dxa"/>
            <w:vAlign w:val="bottom"/>
          </w:tcPr>
          <w:p>
            <w:pPr>
              <w:ind w:left="140"/>
              <w:spacing w:after="0"/>
              <w:rPr>
                <w:sz w:val="20"/>
                <w:szCs w:val="20"/>
                <w:color w:val="auto"/>
              </w:rPr>
            </w:pPr>
            <w:r>
              <w:rPr>
                <w:rFonts w:ascii="Arial" w:cs="Arial" w:eastAsia="Arial" w:hAnsi="Arial"/>
                <w:sz w:val="20"/>
                <w:szCs w:val="20"/>
                <w:color w:val="auto"/>
              </w:rPr>
              <w:t>Shared power to dispose or to direct the disposition of</w:t>
            </w:r>
          </w:p>
        </w:tc>
        <w:tc>
          <w:tcPr>
            <w:tcW w:w="2460" w:type="dxa"/>
            <w:vAlign w:val="bottom"/>
            <w:gridSpan w:val="2"/>
          </w:tcPr>
          <w:p>
            <w:pPr>
              <w:ind w:left="1940"/>
              <w:spacing w:after="0"/>
              <w:rPr>
                <w:sz w:val="20"/>
                <w:szCs w:val="20"/>
                <w:color w:val="auto"/>
              </w:rPr>
            </w:pPr>
            <w:r>
              <w:rPr>
                <w:rFonts w:ascii="Arial" w:cs="Arial" w:eastAsia="Arial" w:hAnsi="Arial"/>
                <w:sz w:val="20"/>
                <w:szCs w:val="20"/>
                <w:color w:val="auto"/>
              </w:rPr>
              <w:t>0  .</w:t>
            </w:r>
          </w:p>
        </w:tc>
      </w:tr>
      <w:tr>
        <w:trPr>
          <w:trHeight w:val="253"/>
        </w:trPr>
        <w:tc>
          <w:tcPr>
            <w:tcW w:w="212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466"/>
        </w:trPr>
        <w:tc>
          <w:tcPr>
            <w:tcW w:w="212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7"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Daniel G. Cohen:</w:t>
      </w:r>
    </w:p>
    <w:p>
      <w:pPr>
        <w:spacing w:after="0" w:line="16" w:lineRule="exact"/>
        <w:rPr>
          <w:sz w:val="20"/>
          <w:szCs w:val="20"/>
          <w:color w:val="auto"/>
        </w:rPr>
      </w:pPr>
    </w:p>
    <w:p>
      <w:pPr>
        <w:ind w:left="1680" w:right="7300" w:hanging="562"/>
        <w:spacing w:after="0" w:line="498" w:lineRule="auto"/>
        <w:tabs>
          <w:tab w:leader="none" w:pos="16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Amount beneficially owned: 0</w:t>
      </w:r>
    </w:p>
    <w:p>
      <w:pPr>
        <w:spacing w:after="0" w:line="1" w:lineRule="exact"/>
        <w:rPr>
          <w:rFonts w:ascii="Arial" w:cs="Arial" w:eastAsia="Arial" w:hAnsi="Arial"/>
          <w:sz w:val="20"/>
          <w:szCs w:val="20"/>
          <w:color w:val="auto"/>
        </w:rPr>
      </w:pPr>
    </w:p>
    <w:p>
      <w:pPr>
        <w:ind w:left="1680" w:right="8260" w:hanging="562"/>
        <w:spacing w:after="0" w:line="528" w:lineRule="auto"/>
        <w:tabs>
          <w:tab w:leader="none" w:pos="16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Percent of class: 0%</w:t>
      </w:r>
    </w:p>
    <w:p>
      <w:pPr>
        <w:spacing w:after="0" w:line="189" w:lineRule="exact"/>
        <w:rPr>
          <w:rFonts w:ascii="Arial" w:cs="Arial" w:eastAsia="Arial" w:hAnsi="Arial"/>
          <w:sz w:val="20"/>
          <w:szCs w:val="20"/>
          <w:color w:val="auto"/>
        </w:rPr>
      </w:pPr>
    </w:p>
    <w:p>
      <w:pPr>
        <w:ind w:left="1680" w:hanging="562"/>
        <w:spacing w:after="0"/>
        <w:tabs>
          <w:tab w:leader="none" w:pos="16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-1052195</wp:posOffset>
            </wp:positionV>
            <wp:extent cx="61290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-434975</wp:posOffset>
            </wp:positionV>
            <wp:extent cx="61290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255"/>
        </w:trPr>
        <w:tc>
          <w:tcPr>
            <w:tcW w:w="440" w:type="dxa"/>
            <w:vAlign w:val="bottom"/>
          </w:tcPr>
          <w:p>
            <w:pPr>
              <w:spacing w:after="0"/>
              <w:rPr>
                <w:sz w:val="20"/>
                <w:szCs w:val="20"/>
                <w:color w:val="auto"/>
              </w:rPr>
            </w:pPr>
            <w:r>
              <w:rPr>
                <w:rFonts w:ascii="Arial" w:cs="Arial" w:eastAsia="Arial" w:hAnsi="Arial"/>
                <w:sz w:val="20"/>
                <w:szCs w:val="20"/>
                <w:color w:val="auto"/>
              </w:rPr>
              <w:t>(i)</w:t>
            </w:r>
          </w:p>
        </w:tc>
        <w:tc>
          <w:tcPr>
            <w:tcW w:w="6660" w:type="dxa"/>
            <w:vAlign w:val="bottom"/>
          </w:tcPr>
          <w:p>
            <w:pPr>
              <w:ind w:left="140"/>
              <w:spacing w:after="0"/>
              <w:rPr>
                <w:sz w:val="20"/>
                <w:szCs w:val="20"/>
                <w:color w:val="auto"/>
              </w:rPr>
            </w:pPr>
            <w:r>
              <w:rPr>
                <w:rFonts w:ascii="Arial" w:cs="Arial" w:eastAsia="Arial" w:hAnsi="Arial"/>
                <w:sz w:val="20"/>
                <w:szCs w:val="20"/>
                <w:color w:val="auto"/>
              </w:rPr>
              <w:t>Sole power to vote or to direct the vote</w:t>
            </w:r>
          </w:p>
        </w:tc>
        <w:tc>
          <w:tcPr>
            <w:tcW w:w="2140" w:type="dxa"/>
            <w:vAlign w:val="bottom"/>
            <w:tcBorders>
              <w:bottom w:val="single" w:sz="8" w:color="auto"/>
            </w:tcBorders>
          </w:tcPr>
          <w:p>
            <w:pPr>
              <w:ind w:left="1940"/>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spacing w:after="0"/>
              <w:rPr>
                <w:sz w:val="22"/>
                <w:szCs w:val="22"/>
                <w:color w:val="auto"/>
              </w:rPr>
            </w:pP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(ii)</w:t>
            </w:r>
          </w:p>
        </w:tc>
        <w:tc>
          <w:tcPr>
            <w:tcW w:w="6660" w:type="dxa"/>
            <w:vAlign w:val="bottom"/>
          </w:tcPr>
          <w:p>
            <w:pPr>
              <w:ind w:left="140"/>
              <w:spacing w:after="0"/>
              <w:rPr>
                <w:sz w:val="20"/>
                <w:szCs w:val="20"/>
                <w:color w:val="auto"/>
              </w:rPr>
            </w:pPr>
            <w:r>
              <w:rPr>
                <w:rFonts w:ascii="Arial" w:cs="Arial" w:eastAsia="Arial" w:hAnsi="Arial"/>
                <w:sz w:val="20"/>
                <w:szCs w:val="20"/>
                <w:color w:val="auto"/>
              </w:rPr>
              <w:t>Shared power to vote or to direct the vote</w:t>
            </w:r>
          </w:p>
        </w:tc>
        <w:tc>
          <w:tcPr>
            <w:tcW w:w="2140" w:type="dxa"/>
            <w:vAlign w:val="bottom"/>
            <w:tcBorders>
              <w:bottom w:val="single" w:sz="8" w:color="auto"/>
            </w:tcBorders>
          </w:tcPr>
          <w:p>
            <w:pPr>
              <w:ind w:left="1940"/>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spacing w:after="0"/>
              <w:rPr>
                <w:sz w:val="24"/>
                <w:szCs w:val="24"/>
                <w:color w:val="auto"/>
              </w:rPr>
            </w:pPr>
          </w:p>
        </w:tc>
      </w:tr>
      <w:tr>
        <w:trPr>
          <w:trHeight w:val="480"/>
        </w:trPr>
        <w:tc>
          <w:tcPr>
            <w:tcW w:w="440" w:type="dxa"/>
            <w:vAlign w:val="bottom"/>
          </w:tcPr>
          <w:p>
            <w:pPr>
              <w:spacing w:after="0"/>
              <w:rPr>
                <w:sz w:val="20"/>
                <w:szCs w:val="20"/>
                <w:color w:val="auto"/>
              </w:rPr>
            </w:pPr>
            <w:r>
              <w:rPr>
                <w:rFonts w:ascii="Arial" w:cs="Arial" w:eastAsia="Arial" w:hAnsi="Arial"/>
                <w:sz w:val="20"/>
                <w:szCs w:val="20"/>
                <w:color w:val="auto"/>
              </w:rPr>
              <w:t>(iii)</w:t>
            </w:r>
          </w:p>
        </w:tc>
        <w:tc>
          <w:tcPr>
            <w:tcW w:w="6660" w:type="dxa"/>
            <w:vAlign w:val="bottom"/>
          </w:tcPr>
          <w:p>
            <w:pPr>
              <w:ind w:left="140"/>
              <w:spacing w:after="0"/>
              <w:rPr>
                <w:sz w:val="20"/>
                <w:szCs w:val="20"/>
                <w:color w:val="auto"/>
              </w:rPr>
            </w:pPr>
            <w:r>
              <w:rPr>
                <w:rFonts w:ascii="Arial" w:cs="Arial" w:eastAsia="Arial" w:hAnsi="Arial"/>
                <w:sz w:val="20"/>
                <w:szCs w:val="20"/>
                <w:color w:val="auto"/>
              </w:rPr>
              <w:t>Sole power to dispose or to direct the disposition of</w:t>
            </w:r>
          </w:p>
        </w:tc>
        <w:tc>
          <w:tcPr>
            <w:tcW w:w="2140" w:type="dxa"/>
            <w:vAlign w:val="bottom"/>
            <w:tcBorders>
              <w:bottom w:val="single" w:sz="8" w:color="auto"/>
            </w:tcBorders>
          </w:tcPr>
          <w:p>
            <w:pPr>
              <w:ind w:left="1940"/>
              <w:spacing w:after="0"/>
              <w:rPr>
                <w:sz w:val="20"/>
                <w:szCs w:val="20"/>
                <w:color w:val="auto"/>
              </w:rPr>
            </w:pPr>
            <w:r>
              <w:rPr>
                <w:rFonts w:ascii="Arial" w:cs="Arial" w:eastAsia="Arial" w:hAnsi="Arial"/>
                <w:sz w:val="20"/>
                <w:szCs w:val="20"/>
                <w:color w:val="auto"/>
              </w:rPr>
              <w:t>0</w:t>
            </w:r>
          </w:p>
        </w:tc>
        <w:tc>
          <w:tcPr>
            <w:tcW w:w="320" w:type="dxa"/>
            <w:vAlign w:val="bottom"/>
            <w:tcBorders>
              <w:bottom w:val="single" w:sz="8" w:color="auto"/>
            </w:tcBorders>
          </w:tcPr>
          <w:p>
            <w:pPr>
              <w:spacing w:after="0"/>
              <w:rPr>
                <w:sz w:val="24"/>
                <w:szCs w:val="24"/>
                <w:color w:val="auto"/>
              </w:rPr>
            </w:pPr>
          </w:p>
        </w:tc>
      </w:tr>
      <w:tr>
        <w:trPr>
          <w:trHeight w:val="479"/>
        </w:trPr>
        <w:tc>
          <w:tcPr>
            <w:tcW w:w="440" w:type="dxa"/>
            <w:vAlign w:val="bottom"/>
          </w:tcPr>
          <w:p>
            <w:pPr>
              <w:spacing w:after="0"/>
              <w:rPr>
                <w:sz w:val="20"/>
                <w:szCs w:val="20"/>
                <w:color w:val="auto"/>
              </w:rPr>
            </w:pPr>
            <w:r>
              <w:rPr>
                <w:rFonts w:ascii="Arial" w:cs="Arial" w:eastAsia="Arial" w:hAnsi="Arial"/>
                <w:sz w:val="20"/>
                <w:szCs w:val="20"/>
                <w:color w:val="auto"/>
              </w:rPr>
              <w:t>(iv)</w:t>
            </w:r>
          </w:p>
        </w:tc>
        <w:tc>
          <w:tcPr>
            <w:tcW w:w="6660" w:type="dxa"/>
            <w:vAlign w:val="bottom"/>
          </w:tcPr>
          <w:p>
            <w:pPr>
              <w:ind w:left="140"/>
              <w:spacing w:after="0"/>
              <w:rPr>
                <w:sz w:val="20"/>
                <w:szCs w:val="20"/>
                <w:color w:val="auto"/>
              </w:rPr>
            </w:pPr>
            <w:r>
              <w:rPr>
                <w:rFonts w:ascii="Arial" w:cs="Arial" w:eastAsia="Arial" w:hAnsi="Arial"/>
                <w:sz w:val="20"/>
                <w:szCs w:val="20"/>
                <w:color w:val="auto"/>
              </w:rPr>
              <w:t>Shared power to dispose or to direct the disposition of</w:t>
            </w:r>
          </w:p>
        </w:tc>
        <w:tc>
          <w:tcPr>
            <w:tcW w:w="2460" w:type="dxa"/>
            <w:vAlign w:val="bottom"/>
            <w:gridSpan w:val="2"/>
          </w:tcPr>
          <w:p>
            <w:pPr>
              <w:ind w:left="1940"/>
              <w:spacing w:after="0"/>
              <w:rPr>
                <w:sz w:val="20"/>
                <w:szCs w:val="20"/>
                <w:color w:val="auto"/>
              </w:rPr>
            </w:pPr>
            <w:r>
              <w:rPr>
                <w:rFonts w:ascii="Arial" w:cs="Arial" w:eastAsia="Arial" w:hAnsi="Arial"/>
                <w:sz w:val="20"/>
                <w:szCs w:val="20"/>
                <w:color w:val="auto"/>
              </w:rPr>
              <w:t>0  .</w:t>
            </w:r>
          </w:p>
        </w:tc>
      </w:tr>
      <w:tr>
        <w:trPr>
          <w:trHeight w:val="20"/>
        </w:trPr>
        <w:tc>
          <w:tcPr>
            <w:tcW w:w="4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Instruction: For computations regarding securities which represent a right to acquire an underlying security see §240.13d-3(d)</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(1).</w:t>
      </w:r>
    </w:p>
    <w:p>
      <w:pPr>
        <w:spacing w:after="0" w:line="227"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9" w:lineRule="exact"/>
        <w:rPr>
          <w:sz w:val="20"/>
          <w:szCs w:val="20"/>
          <w:color w:val="auto"/>
        </w:rPr>
      </w:pPr>
    </w:p>
    <w:p>
      <w:pPr>
        <w:jc w:val="both"/>
        <w:ind w:left="1120" w:right="10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204" w:lineRule="exact"/>
        <w:rPr>
          <w:sz w:val="20"/>
          <w:szCs w:val="20"/>
          <w:color w:val="auto"/>
        </w:rPr>
      </w:pPr>
    </w:p>
    <w:p>
      <w:pPr>
        <w:jc w:val="both"/>
        <w:ind w:left="1120" w:right="100"/>
        <w:spacing w:after="0" w:line="260" w:lineRule="auto"/>
        <w:rPr>
          <w:sz w:val="20"/>
          <w:szCs w:val="20"/>
          <w:color w:val="auto"/>
        </w:rPr>
      </w:pPr>
      <w:r>
        <w:rPr>
          <w:rFonts w:ascii="Arial" w:cs="Arial" w:eastAsia="Arial" w:hAnsi="Arial"/>
          <w:sz w:val="20"/>
          <w:szCs w:val="20"/>
          <w:color w:val="auto"/>
        </w:rPr>
        <w:t>This final amendment reflects that each Reporting Person has ceased to be the beneficial owner of more than five percent of the Common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-13335</wp:posOffset>
            </wp:positionV>
            <wp:extent cx="64890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29" w:lineRule="exact"/>
        <w:rPr>
          <w:sz w:val="20"/>
          <w:szCs w:val="20"/>
          <w:color w:val="auto"/>
        </w:rPr>
      </w:pPr>
    </w:p>
    <w:p>
      <w:pPr>
        <w:jc w:val="both"/>
        <w:ind w:left="1120" w:right="100"/>
        <w:spacing w:after="0" w:line="244" w:lineRule="auto"/>
        <w:rPr>
          <w:sz w:val="20"/>
          <w:szCs w:val="20"/>
          <w:color w:val="auto"/>
        </w:rPr>
      </w:pPr>
      <w:r>
        <w:rPr>
          <w:rFonts w:ascii="Arial" w:cs="Arial" w:eastAsia="Arial" w:hAnsi="Arial"/>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6489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3" w:right="339" w:bottom="1440" w:gutter="0" w:footer="0" w:header="0"/>
        </w:sectPr>
      </w:pPr>
    </w:p>
    <w:bookmarkStart w:id="12" w:name="page13"/>
    <w:bookmarkEnd w:id="12"/>
    <w:p>
      <w:pPr>
        <w:ind w:left="1340" w:hanging="1338"/>
        <w:spacing w:after="0" w:line="260" w:lineRule="auto"/>
        <w:tabs>
          <w:tab w:leader="none" w:pos="13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 or Control Person.</w:t>
      </w:r>
    </w:p>
    <w:p>
      <w:pPr>
        <w:spacing w:after="0" w:line="190" w:lineRule="exact"/>
        <w:rPr>
          <w:sz w:val="20"/>
          <w:szCs w:val="20"/>
          <w:color w:val="auto"/>
        </w:rPr>
      </w:pPr>
    </w:p>
    <w:p>
      <w:pPr>
        <w:jc w:val="both"/>
        <w:ind w:left="1580"/>
        <w:spacing w:after="0" w:line="246" w:lineRule="auto"/>
        <w:rPr>
          <w:sz w:val="20"/>
          <w:szCs w:val="20"/>
          <w:color w:val="auto"/>
        </w:rPr>
      </w:pPr>
      <w:r>
        <w:rPr>
          <w:rFonts w:ascii="Arial" w:cs="Arial" w:eastAsia="Arial" w:hAnsi="Arial"/>
          <w:sz w:val="20"/>
          <w:szCs w:val="20"/>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5"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Please 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19050</wp:posOffset>
            </wp:positionV>
            <wp:extent cx="6197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29" w:lineRule="exact"/>
        <w:rPr>
          <w:sz w:val="20"/>
          <w:szCs w:val="20"/>
          <w:color w:val="auto"/>
        </w:rPr>
      </w:pPr>
    </w:p>
    <w:p>
      <w:pPr>
        <w:jc w:val="both"/>
        <w:ind w:left="1120" w:hanging="7"/>
        <w:spacing w:after="0" w:line="269" w:lineRule="auto"/>
        <w:rPr>
          <w:sz w:val="20"/>
          <w:szCs w:val="20"/>
          <w:color w:val="auto"/>
        </w:rPr>
      </w:pPr>
      <w:r>
        <w:rPr>
          <w:rFonts w:ascii="Arial" w:cs="Arial" w:eastAsia="Arial" w:hAnsi="Arial"/>
          <w:sz w:val="19"/>
          <w:szCs w:val="19"/>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6489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29" w:lineRule="exact"/>
        <w:rPr>
          <w:sz w:val="20"/>
          <w:szCs w:val="20"/>
          <w:color w:val="auto"/>
        </w:rPr>
      </w:pPr>
    </w:p>
    <w:p>
      <w:pPr>
        <w:jc w:val="both"/>
        <w:ind w:left="1120" w:right="200" w:hanging="7"/>
        <w:spacing w:after="0" w:line="250" w:lineRule="auto"/>
        <w:rPr>
          <w:sz w:val="20"/>
          <w:szCs w:val="20"/>
          <w:color w:val="auto"/>
        </w:rPr>
      </w:pPr>
      <w:r>
        <w:rPr>
          <w:rFonts w:ascii="Arial" w:cs="Arial" w:eastAsia="Arial" w:hAnsi="Arial"/>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9"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6489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580"/>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17" w:right="4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Dated: February 16, 2021</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Daniel G. Cohen</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2494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Vellar Opportunities Fund Master Ltd.</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/s/ Solomon I. Cohen</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Solomon I.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3206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8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Dekania Investors, LLC</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/s/ Joseph Pooler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24942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8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Cohen &amp; Company LLC</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/s/ Joseph Pooler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8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Cohen &amp; Company Financial Management</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Cohen &amp; Company Inc.</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Daniel G. Cohen</w:t>
      </w:r>
    </w:p>
    <w:p>
      <w:pPr>
        <w:spacing w:after="0" w:line="20"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Daniel G. Cohen</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Title: Chairman of the Board of Directors</w:t>
      </w: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Cohen &amp; Company Inc.</w:t>
      </w:r>
    </w:p>
    <w:p>
      <w:pPr>
        <w:spacing w:after="0" w:line="200" w:lineRule="exact"/>
        <w:rPr>
          <w:sz w:val="20"/>
          <w:szCs w:val="20"/>
          <w:color w:val="auto"/>
        </w:rPr>
      </w:pPr>
    </w:p>
    <w:p>
      <w:pPr>
        <w:spacing w:after="0" w:line="299"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/s/ Daniel G. Cohen</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24942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Title: Chairman of the Board of Directors</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s.240.13d-7 for other parties for whom copies are to be sent.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03" w:right="419" w:bottom="1440" w:gutter="0" w:footer="0" w:header="0"/>
        </w:sectPr>
      </w:pPr>
    </w:p>
    <w:bookmarkStart w:id="14" w:name="page15"/>
    <w:bookmarkEnd w:id="14"/>
    <w:p>
      <w:pPr>
        <w:jc w:val="right"/>
        <w:spacing w:after="0"/>
        <w:rPr>
          <w:sz w:val="20"/>
          <w:szCs w:val="20"/>
          <w:color w:val="auto"/>
        </w:rPr>
      </w:pPr>
      <w:r>
        <w:rPr>
          <w:rFonts w:ascii="Arial" w:cs="Arial" w:eastAsia="Arial" w:hAnsi="Arial"/>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undersigned agree that this Schedule 13G Amendment No. 1 dated February 16, 2021, relating to the Class A Ordinary Shares, par value $0.0001 per share of Sustainable Opportunities Acquisition Corp. shall be filed on behalf of the undersigned.</w:t>
      </w:r>
    </w:p>
    <w:p>
      <w:pPr>
        <w:spacing w:after="0" w:line="204"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Daniel G. Cohen</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2494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Vellar Opportunities Fund Master Ltd.</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/s/ Solomon I. Cohen</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Solomon I.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8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Dekania Investors, LLC</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/s/ Joseph Pooler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2494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8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Cohen &amp; Company LLC</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/s/ Joseph Pooler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24942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8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Cohen &amp; Company Financial Management</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Cohen &amp; Company Inc.</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Daniel G. Cohen</w:t>
      </w:r>
    </w:p>
    <w:p>
      <w:pPr>
        <w:spacing w:after="0" w:line="20"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Daniel G. Cohen</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Title: Chairman of the Board of Directors</w:t>
      </w: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Cohen &amp; Company Inc.</w:t>
      </w:r>
    </w:p>
    <w:p>
      <w:pPr>
        <w:spacing w:after="0" w:line="200" w:lineRule="exact"/>
        <w:rPr>
          <w:sz w:val="20"/>
          <w:szCs w:val="20"/>
          <w:color w:val="auto"/>
        </w:rPr>
      </w:pPr>
    </w:p>
    <w:p>
      <w:pPr>
        <w:spacing w:after="0" w:line="299"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20"/>
          <w:szCs w:val="20"/>
          <w:color w:val="auto"/>
        </w:rPr>
        <w:t>By:</w:t>
        <w:tab/>
        <w:t>/s/ Daniel G. Cohen</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Name: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-143510</wp:posOffset>
            </wp:positionV>
            <wp:extent cx="24942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Title: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 w:name="page16"/>
    <w:bookmarkEnd w:id="15"/>
    <w:p>
      <w:pPr>
        <w:ind w:left="10480"/>
        <w:spacing w:after="0"/>
        <w:rPr>
          <w:sz w:val="20"/>
          <w:szCs w:val="20"/>
          <w:color w:val="auto"/>
        </w:rPr>
      </w:pPr>
      <w:r>
        <w:rPr>
          <w:rFonts w:ascii="Arial" w:cs="Arial" w:eastAsia="Arial" w:hAnsi="Arial"/>
          <w:sz w:val="19"/>
          <w:szCs w:val="19"/>
          <w:color w:val="auto"/>
        </w:rPr>
        <w:t>Exhibit B</w:t>
      </w:r>
    </w:p>
    <w:p>
      <w:pPr>
        <w:spacing w:after="0" w:line="308"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Cohen &amp; Company Financial Management, LLC and Cohen &amp; Company Inc. are the relevant entities for which Mr. Cohen may be considered a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3"/>
    </w:lvl>
  </w:abstractNum>
  <w:abstractNum w:abstractNumId="2">
    <w:nsid w:val="519B500D"/>
    <w:multiLevelType w:val="hybridMultilevel"/>
    <w:lvl w:ilvl="0">
      <w:lvlJc w:val="left"/>
      <w:lvlText w:val="%1."/>
      <w:numFmt w:val="decimal"/>
      <w:start w:val="5"/>
    </w:lvl>
  </w:abstractNum>
  <w:abstractNum w:abstractNumId="3">
    <w:nsid w:val="431BD7B7"/>
    <w:multiLevelType w:val="hybridMultilevel"/>
    <w:lvl w:ilvl="0">
      <w:lvlJc w:val="left"/>
      <w:lvlText w:val="%1."/>
      <w:numFmt w:val="decimal"/>
      <w:start w:val="1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1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decimal"/>
      <w:start w:val="1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3"/>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3"/>
    </w:lvl>
  </w:abstractNum>
  <w:abstractNum w:abstractNumId="18">
    <w:nsid w:val="4353D0CD"/>
    <w:multiLevelType w:val="hybridMultilevel"/>
    <w:lvl w:ilvl="0">
      <w:lvlJc w:val="left"/>
      <w:lvlText w:val="%1."/>
      <w:numFmt w:val="decimal"/>
      <w:start w:val="5"/>
    </w:lvl>
  </w:abstractNum>
  <w:abstractNum w:abstractNumId="19">
    <w:nsid w:val="B03E0C6"/>
    <w:multiLevelType w:val="hybridMultilevel"/>
    <w:lvl w:ilvl="0">
      <w:lvlJc w:val="left"/>
      <w:lvlText w:val="%1."/>
      <w:numFmt w:val="decimal"/>
      <w:start w:val="1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3"/>
    </w:lvl>
  </w:abstractNum>
  <w:abstractNum w:abstractNumId="22">
    <w:nsid w:val="71F32454"/>
    <w:multiLevelType w:val="hybridMultilevel"/>
    <w:lvl w:ilvl="0">
      <w:lvlJc w:val="left"/>
      <w:lvlText w:val="%1."/>
      <w:numFmt w:val="decimal"/>
      <w:start w:val="5"/>
    </w:lvl>
  </w:abstractNum>
  <w:abstractNum w:abstractNumId="23">
    <w:nsid w:val="2CA88611"/>
    <w:multiLevelType w:val="hybridMultilevel"/>
    <w:lvl w:ilvl="0">
      <w:lvlJc w:val="left"/>
      <w:lvlText w:val="%1."/>
      <w:numFmt w:val="decimal"/>
      <w:start w:val="1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3"/>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2021-02-16T16:39:30Z</dcterms:created>
  <dcterms:modified xsi:type="dcterms:W3CDTF">2021-02-16T16:39:30Z</dcterms:modified>
</cp:coreProperties>
</file>