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TMC the metals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87261Y106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87261Y106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Brumder William George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21,067,781.00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21,067,781.00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21,067,781.00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Explanatory Note: This Amendment No. 1 to Schedule 13G is being filed solely to correct the number of shares underlying the Warrants (as defined below) that are beneficially owned by the Reporting Person, which was inadvertently misstated in the original Schedule 13G filed on September 24, 2025. The beneficial ownership reported herein reflects the correct number of shares and percentage beneficially owned as of the date of the original filing, and no changes have occurred in the Reporting Person's beneficial ownership since that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TMC the metals Co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t xml:space="preserve">Address of issuer's principal executive offices: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is filed by William George Brumder II.</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HoganTaylor LLP 1225 N. Broadway Ave., Ste. 200 Oklahoma City, OK 73103</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jc w:val="left"/>
              <w:rPr/>
            </w:pPr>
            <w:r>
              <w:rPr/>
              <w:t xml:space="preserve">CUSIP No.: </w:t>
            </w:r>
          </w:p>
          <w:p>
            <w:pPr>
              <w:pStyle w:val="TableContents"/>
              <w:bidi w:val="0"/>
              <w:spacing w:before="0" w:after="0"/>
              <w:jc w:val="left"/>
              <w:rPr/>
            </w:pPr>
            <w:r>
              <w:rPr/>
              <w:t>87261Y106</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the date hereof, Mr. Brumder held exchange-traded warrants of the Issuer (the "Warrants") exercisable for an aggregate of 1,075,000 Common Shares, without par value (the "Common Shares"). The Warrants are exercisable at a price of $11.50 per Common Share and first became exercisable 30 days after the consummation of the combination between the Issuer and DeepGreen Metals Inc., which occurred on September 9, 2021, subject to certain conditions. The Warrants expire at 5:00 p.m. EST on September 9, 2026, or earlier upon redemption or liquidation, subject to certain conditions. As of the close of business on the date hereof, Mr. Brumder may be deemed to beneficially own 21,067,781 Common Shares, including (i) 1,075,000 Common Shares underlying the Warrants held by him and (ii) 2,492,200 Common Shares underlying certain call options exercisable within 60 days of the date hereof.</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 is based upon 407,467,921 Common Shares outstanding, which is the sum of (i) 406,392,921 Common Shares outstanding as of August 13, 2025, which is the total number of Common Shares outstanding as disclosed in the Issuer's Quarterly Report on Form 10-Q filed with the Securities and Exchange Commission on August 14, 2025, and (ii) 1,075,000 Common Shares underlying the Warrants held by Mr. Brumder. As of the close of business on the date hereof, Mr. Brumder may be deemed to beneficially own approximately 5.2% of the Common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Brumder William George</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William George Brumder II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William George Brumder II</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09/25/2025</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1071</Words>
  <Characters>5549</Characters>
  <CharactersWithSpaces>6609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