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TMC the metals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Brumder William George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14,703,132.00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14,703,132.00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14,703,132.00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1"/>
        <w:gridCol w:w="8969"/>
        <w:gridCol w:w="155"/>
      </w:tblGrid>
      <w:tr>
        <w:trPr/>
        <w:tc>
          <w:tcPr>
            <w:tcW w:w="1081" w:type="dxa"/>
            <w:tcBorders/>
            <w:vAlign w:val="center"/>
          </w:tcPr>
          <w:p>
            <w:pPr>
              <w:pStyle w:val="TableContents"/>
              <w:bidi w:val="0"/>
              <w:spacing w:before="0" w:after="283"/>
              <w:jc w:val="left"/>
              <w:rPr/>
            </w:pPr>
            <w:r>
              <w:rPr/>
              <w:t>Item 1.</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issuer: </w:t>
            </w:r>
          </w:p>
          <w:p>
            <w:pPr>
              <w:pStyle w:val="TableContents"/>
              <w:bidi w:val="0"/>
              <w:spacing w:before="0" w:after="0"/>
              <w:jc w:val="left"/>
              <w:rPr/>
            </w:pPr>
            <w:r>
              <w:rPr/>
              <w:t>TMC the metals Co Inc.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spacing w:before="0" w:after="283"/>
              <w:jc w:val="left"/>
              <w:rPr/>
            </w:pPr>
            <w:r>
              <w:rPr/>
              <w:t xml:space="preserve">Address of issuer's principal executive offices: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2.</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is filed by William George Brumder II.</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HoganTaylor LLP 1225 N. Broadway Ave., Ste. 200 Oklahoma City, OK 73103</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3.</w:t>
            </w:r>
          </w:p>
        </w:tc>
        <w:tc>
          <w:tcPr>
            <w:tcW w:w="896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(f)</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(g)</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(h)</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(j)</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(k)</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4.</w:t>
            </w:r>
          </w:p>
        </w:tc>
        <w:tc>
          <w:tcPr>
            <w:tcW w:w="896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the date hereof, Mr. Brumder may be deemed to beneficially own 14,703,132 Common Shares, without par value of the Issuer (the "Shares"), including 2,702,900 Shares underlying certain call options exercisable within 60 days of the date hereof.</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 is based upon 433,188,187 Shares outstanding as of April 2, 2026, as reported in the Proxy Statement on Schedule 14A, filed by the Issuer on April 17, 2026. As of the close of business on the date hereof, Mr. Brumder may be deemed to beneficially own approximately 3.4%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5.</w:t>
            </w:r>
          </w:p>
        </w:tc>
        <w:tc>
          <w:tcPr>
            <w:tcW w:w="896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6.</w:t>
            </w:r>
          </w:p>
        </w:tc>
        <w:tc>
          <w:tcPr>
            <w:tcW w:w="896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7.</w:t>
            </w:r>
          </w:p>
        </w:tc>
        <w:tc>
          <w:tcPr>
            <w:tcW w:w="896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8.</w:t>
            </w:r>
          </w:p>
        </w:tc>
        <w:tc>
          <w:tcPr>
            <w:tcW w:w="896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9.</w:t>
            </w:r>
          </w:p>
        </w:tc>
        <w:tc>
          <w:tcPr>
            <w:tcW w:w="896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Brumder William George</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William George Brumder II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William George Brumder II</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850</Words>
  <Characters>4323</Characters>
  <CharactersWithSpaces>5169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