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___)*</w:t>
      </w: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TMC the metals 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TMC Common Shares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jc w:val="both"/>
        <w:ind w:left="440" w:right="9140" w:hanging="7"/>
        <w:spacing w:after="0" w:line="220" w:lineRule="exact"/>
        <w:tabs>
          <w:tab w:leader="none" w:pos="1027"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w:t>
      </w:r>
    </w:p>
    <w:p>
      <w:pPr>
        <w:ind w:left="1020" w:hanging="587"/>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511175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83"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87261Y106</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color w:val="auto"/>
                <w:w w:val="86"/>
              </w:rPr>
              <w:t>Page 2 of 8</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Maersk Supply Service A/S</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Denmark</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20,820,816</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20,820,816</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20,820,816</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87261Y106</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color w:val="auto"/>
                <w:w w:val="86"/>
              </w:rPr>
              <w:t>Page 3 of 8</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A.P. Møller - Mærsk A/S</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Denmark</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20,820,816</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20,820,816</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20,820,816</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4"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87261Y106</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color w:val="auto"/>
                <w:w w:val="86"/>
              </w:rPr>
              <w:t>Page 4 of 8</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 P. Møller Holding A/S</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Denmark</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20,820,816</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20,820,816</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20,820,816</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CUSIP No. 87261Y106</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color w:val="auto"/>
                <w:w w:val="86"/>
              </w:rPr>
              <w:t>Page 5 of 8</w:t>
            </w:r>
          </w:p>
        </w:tc>
        <w:tc>
          <w:tcPr>
            <w:tcW w:w="0" w:type="dxa"/>
            <w:vAlign w:val="bottom"/>
          </w:tcPr>
          <w:p>
            <w:pPr>
              <w:spacing w:after="0"/>
              <w:rPr>
                <w:sz w:val="1"/>
                <w:szCs w:val="1"/>
                <w:color w:val="auto"/>
              </w:rPr>
            </w:pPr>
          </w:p>
        </w:tc>
      </w:tr>
      <w:tr>
        <w:trPr>
          <w:trHeight w:val="43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NAME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A.P. Møller og Hustru Chastine Mc-Kinney Møllers Fond til almene Formaal</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784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40" w:type="dxa"/>
            <w:vAlign w:val="bottom"/>
            <w:tcBorders>
              <w:right w:val="single" w:sz="8" w:color="auto"/>
            </w:tcBorders>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40" w:type="dxa"/>
            <w:vAlign w:val="bottom"/>
            <w:tcBorders>
              <w:bottom w:val="single" w:sz="8" w:color="auto"/>
            </w:tcBorders>
            <w:gridSpan w:val="2"/>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Denmark</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720" w:type="dxa"/>
            <w:vAlign w:val="bottom"/>
          </w:tcPr>
          <w:p>
            <w:pPr>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20,820,816</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720" w:type="dxa"/>
            <w:vAlign w:val="bottom"/>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720" w:type="dxa"/>
            <w:vAlign w:val="bottom"/>
            <w:tcBorders>
              <w:bottom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720" w:type="dxa"/>
            <w:vAlign w:val="bottom"/>
            <w:vMerge w:val="continue"/>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20,820,816</w:t>
            </w:r>
          </w:p>
        </w:tc>
        <w:tc>
          <w:tcPr>
            <w:tcW w:w="2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720" w:type="dxa"/>
            <w:vAlign w:val="bottom"/>
            <w:tcBorders>
              <w:bottom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7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7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20,820,816</w:t>
            </w: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5"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860" w:type="dxa"/>
            <w:vAlign w:val="bottom"/>
            <w:tcBorders>
              <w:top w:val="single" w:sz="8" w:color="auto"/>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6"/>
              </w:rPr>
              <w:t>CUSIP No. 87261Y106</w:t>
            </w:r>
          </w:p>
        </w:tc>
        <w:tc>
          <w:tcPr>
            <w:tcW w:w="4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60"/>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18"/>
                <w:szCs w:val="18"/>
                <w:color w:val="auto"/>
                <w:w w:val="86"/>
              </w:rPr>
              <w:t>Page 6 of 8</w:t>
            </w:r>
          </w:p>
        </w:tc>
      </w:tr>
      <w:tr>
        <w:trPr>
          <w:trHeight w:val="64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40" w:type="dxa"/>
            <w:vAlign w:val="bottom"/>
          </w:tcPr>
          <w:p>
            <w:pPr>
              <w:ind w:left="340"/>
              <w:spacing w:after="0"/>
              <w:rPr>
                <w:sz w:val="20"/>
                <w:szCs w:val="20"/>
                <w:color w:val="auto"/>
              </w:rPr>
            </w:pPr>
            <w:r>
              <w:rPr>
                <w:rFonts w:ascii="Arial" w:cs="Arial" w:eastAsia="Arial" w:hAnsi="Arial"/>
                <w:sz w:val="18"/>
                <w:szCs w:val="18"/>
                <w:color w:val="auto"/>
              </w:rPr>
              <w:t>(a)</w:t>
            </w:r>
          </w:p>
        </w:tc>
        <w:tc>
          <w:tcPr>
            <w:tcW w:w="7140" w:type="dxa"/>
            <w:vAlign w:val="bottom"/>
            <w:gridSpan w:val="2"/>
          </w:tcPr>
          <w:p>
            <w:pPr>
              <w:ind w:left="60"/>
              <w:spacing w:after="0"/>
              <w:rPr>
                <w:sz w:val="20"/>
                <w:szCs w:val="20"/>
                <w:color w:val="auto"/>
              </w:rPr>
            </w:pPr>
            <w:r>
              <w:rPr>
                <w:rFonts w:ascii="Arial" w:cs="Arial" w:eastAsia="Arial" w:hAnsi="Arial"/>
                <w:sz w:val="18"/>
                <w:szCs w:val="18"/>
                <w:color w:val="auto"/>
              </w:rPr>
              <w:t>Name of Issuer:</w:t>
            </w:r>
          </w:p>
        </w:tc>
        <w:tc>
          <w:tcPr>
            <w:tcW w:w="2240" w:type="dxa"/>
            <w:vAlign w:val="bottom"/>
          </w:tcPr>
          <w:p>
            <w:pPr>
              <w:spacing w:after="0"/>
              <w:rPr>
                <w:sz w:val="24"/>
                <w:szCs w:val="24"/>
                <w:color w:val="auto"/>
              </w:rPr>
            </w:pPr>
          </w:p>
        </w:tc>
      </w:tr>
    </w:tbl>
    <w:p>
      <w:pPr>
        <w:spacing w:after="0" w:line="20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TMC the metals Co Inc.</w:t>
      </w:r>
    </w:p>
    <w:p>
      <w:pPr>
        <w:spacing w:after="0" w:line="225" w:lineRule="exact"/>
        <w:rPr>
          <w:sz w:val="20"/>
          <w:szCs w:val="20"/>
          <w:color w:val="auto"/>
        </w:rPr>
      </w:pPr>
    </w:p>
    <w:p>
      <w:pPr>
        <w:ind w:left="1360" w:right="5840" w:hanging="2"/>
        <w:spacing w:after="0" w:line="498" w:lineRule="auto"/>
        <w:tabs>
          <w:tab w:leader="none" w:pos="1927"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of Issuer’s Principal Executive Offices: 1601 BRYAN STREET, SUITE 4141</w:t>
      </w:r>
    </w:p>
    <w:p>
      <w:pPr>
        <w:spacing w:after="0" w:line="1" w:lineRule="exact"/>
        <w:rPr>
          <w:sz w:val="20"/>
          <w:szCs w:val="20"/>
          <w:color w:val="auto"/>
        </w:rPr>
      </w:pPr>
    </w:p>
    <w:p>
      <w:pPr>
        <w:spacing w:after="0"/>
        <w:tabs>
          <w:tab w:leader="none" w:pos="1340" w:val="left"/>
          <w:tab w:leader="none" w:pos="1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Person Filing:</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This statement is filed on behalf of each of the following persons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3" w:lineRule="exact"/>
        <w:rPr>
          <w:sz w:val="20"/>
          <w:szCs w:val="20"/>
          <w:color w:val="auto"/>
        </w:rPr>
      </w:pPr>
    </w:p>
    <w:p>
      <w:pPr>
        <w:ind w:left="1900" w:hanging="178"/>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Maersk Supply Service A/S</w:t>
      </w:r>
    </w:p>
    <w:p>
      <w:pPr>
        <w:spacing w:after="0" w:line="9" w:lineRule="exact"/>
        <w:rPr>
          <w:rFonts w:ascii="Arial" w:cs="Arial" w:eastAsia="Arial" w:hAnsi="Arial"/>
          <w:sz w:val="18"/>
          <w:szCs w:val="18"/>
          <w:color w:val="auto"/>
        </w:rPr>
      </w:pPr>
    </w:p>
    <w:p>
      <w:pPr>
        <w:ind w:left="1900" w:hanging="178"/>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A.P. Møller - Mærsk A/S</w:t>
      </w:r>
    </w:p>
    <w:p>
      <w:pPr>
        <w:spacing w:after="0" w:line="9" w:lineRule="exact"/>
        <w:rPr>
          <w:rFonts w:ascii="Arial" w:cs="Arial" w:eastAsia="Arial" w:hAnsi="Arial"/>
          <w:sz w:val="18"/>
          <w:szCs w:val="18"/>
          <w:color w:val="auto"/>
        </w:rPr>
      </w:pPr>
    </w:p>
    <w:p>
      <w:pPr>
        <w:ind w:left="1900" w:hanging="178"/>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P. Møller Holding A/S</w:t>
      </w:r>
    </w:p>
    <w:p>
      <w:pPr>
        <w:spacing w:after="0" w:line="9" w:lineRule="exact"/>
        <w:rPr>
          <w:rFonts w:ascii="Arial" w:cs="Arial" w:eastAsia="Arial" w:hAnsi="Arial"/>
          <w:sz w:val="18"/>
          <w:szCs w:val="18"/>
          <w:color w:val="auto"/>
        </w:rPr>
      </w:pPr>
    </w:p>
    <w:p>
      <w:pPr>
        <w:ind w:left="1900" w:hanging="178"/>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A.P. Møller og Hustru Chastine Mc-Kinney Møllers Fond til almene Formaal</w:t>
      </w:r>
    </w:p>
    <w:p>
      <w:pPr>
        <w:spacing w:after="0" w:line="170" w:lineRule="exact"/>
        <w:rPr>
          <w:rFonts w:ascii="Arial" w:cs="Arial" w:eastAsia="Arial" w:hAnsi="Arial"/>
          <w:sz w:val="18"/>
          <w:szCs w:val="18"/>
          <w:color w:val="auto"/>
        </w:rPr>
      </w:pPr>
    </w:p>
    <w:p>
      <w:pPr>
        <w:ind w:left="1920" w:hanging="562"/>
        <w:spacing w:after="0"/>
        <w:tabs>
          <w:tab w:leader="none" w:pos="1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principal business address of the Reporting Persons is as follows:</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Esplanaden 50, 1263 Copenhagen K, Denmark</w:t>
      </w:r>
    </w:p>
    <w:p>
      <w:pPr>
        <w:spacing w:after="0" w:line="225" w:lineRule="exact"/>
        <w:rPr>
          <w:sz w:val="20"/>
          <w:szCs w:val="20"/>
          <w:color w:val="auto"/>
        </w:rPr>
      </w:pPr>
    </w:p>
    <w:p>
      <w:pPr>
        <w:ind w:left="1360" w:right="8440" w:hanging="2"/>
        <w:spacing w:after="0" w:line="563" w:lineRule="auto"/>
        <w:tabs>
          <w:tab w:leader="none" w:pos="1927"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Denmark</w:t>
      </w:r>
    </w:p>
    <w:p>
      <w:pPr>
        <w:ind w:left="1360" w:right="6940" w:hanging="2"/>
        <w:spacing w:after="0" w:line="563" w:lineRule="auto"/>
        <w:tabs>
          <w:tab w:leader="none" w:pos="19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Title of Class of Securities: TMC Common Shares without par value</w:t>
      </w:r>
    </w:p>
    <w:p>
      <w:pPr>
        <w:ind w:left="1920" w:hanging="562"/>
        <w:spacing w:after="0"/>
        <w:tabs>
          <w:tab w:leader="none" w:pos="1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87261Y106</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 xml:space="preserve">IF THIS STATEMENT IS FILED PURSUANT TO </w:t>
      </w:r>
      <w:r>
        <w:rPr>
          <w:rFonts w:ascii="Arial" w:cs="Arial" w:eastAsia="Arial" w:hAnsi="Arial"/>
          <w:sz w:val="17"/>
          <w:szCs w:val="17"/>
          <w:color w:val="auto"/>
        </w:rPr>
        <w:t>§</w:t>
      </w:r>
      <w:r>
        <w:rPr>
          <w:rFonts w:ascii="Arial" w:cs="Arial" w:eastAsia="Arial" w:hAnsi="Arial"/>
          <w:sz w:val="17"/>
          <w:szCs w:val="17"/>
          <w:b w:val="1"/>
          <w:bCs w:val="1"/>
          <w:color w:val="auto"/>
        </w:rPr>
        <w:t>240.13D-1(B) OR 240.13D-2(B) OR (C), CHECK WHETHER THE</w:t>
      </w:r>
    </w:p>
    <w:p>
      <w:pPr>
        <w:spacing w:after="0" w:line="2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PERSON FILING IS A:</w:t>
      </w:r>
    </w:p>
    <w:p>
      <w:pPr>
        <w:spacing w:after="0" w:line="200" w:lineRule="exact"/>
        <w:rPr>
          <w:sz w:val="20"/>
          <w:szCs w:val="20"/>
          <w:color w:val="auto"/>
        </w:rPr>
      </w:pP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29" w:lineRule="exact"/>
        <w:rPr>
          <w:sz w:val="20"/>
          <w:szCs w:val="20"/>
          <w:color w:val="auto"/>
        </w:rPr>
      </w:pPr>
    </w:p>
    <w:p>
      <w:pPr>
        <w:ind w:left="1920" w:right="40"/>
        <w:spacing w:after="0" w:line="254" w:lineRule="auto"/>
        <w:rPr>
          <w:sz w:val="20"/>
          <w:szCs w:val="20"/>
          <w:color w:val="auto"/>
        </w:rPr>
      </w:pPr>
      <w:r>
        <w:rPr>
          <w:rFonts w:ascii="Arial" w:cs="Arial" w:eastAsia="Arial" w:hAnsi="Arial"/>
          <w:sz w:val="18"/>
          <w:szCs w:val="18"/>
          <w:color w:val="auto"/>
        </w:rPr>
        <w:t>The shares reported herein are held directly by Mærsk Supply Services A/S, a wholly owned subsidiary of A.P. Møller - Mærsk A/S. A. P. Møller Holding A/S controls a majority of the outstanding equity interests and voting power of A.P. Møller - Mærsk A/S. A. P. Møller Holding A/S is a wholly owned subsidiary of A.P. Møller og Hustru Chastine Mc-Kinney Møllers Fond til almene Formaal (the “</w:t>
      </w:r>
      <w:r>
        <w:rPr>
          <w:rFonts w:ascii="Arial" w:cs="Arial" w:eastAsia="Arial" w:hAnsi="Arial"/>
          <w:sz w:val="18"/>
          <w:szCs w:val="18"/>
          <w:u w:val="single" w:color="auto"/>
          <w:color w:val="auto"/>
        </w:rPr>
        <w:t>Møller Foundation</w:t>
      </w:r>
      <w:r>
        <w:rPr>
          <w:rFonts w:ascii="Arial" w:cs="Arial" w:eastAsia="Arial" w:hAnsi="Arial"/>
          <w:sz w:val="18"/>
          <w:szCs w:val="18"/>
          <w:color w:val="auto"/>
        </w:rPr>
        <w:t>”). Ane Mærsk Mc Kinney Uggla, Birgitte Possing, Lars-Erik Brenøe, Alette Mærsk Mc-Kinney Sørensen and Claus Michael Valentin Hemmingsen (each, a "Director" and collectively, the "Directors") serve as the Directors on the Møller Foundation's board of directors. Each Director expressly disclaims beneficial ownership of the shares beneficially held by the Møller Foundation.</w:t>
      </w:r>
    </w:p>
    <w:p>
      <w:pPr>
        <w:spacing w:after="0" w:line="195" w:lineRule="exact"/>
        <w:rPr>
          <w:sz w:val="20"/>
          <w:szCs w:val="20"/>
          <w:color w:val="auto"/>
        </w:rPr>
      </w:pPr>
    </w:p>
    <w:p>
      <w:pPr>
        <w:ind w:left="1920" w:hanging="562"/>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See row 9 of the cover page of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6" w:name="page7"/>
    <w:bookmarkEnd w:id="6"/>
    <w:p>
      <w:pPr>
        <w:ind w:left="40"/>
        <w:spacing w:after="0"/>
        <w:tabs>
          <w:tab w:leader="none" w:pos="4920" w:val="left"/>
          <w:tab w:leader="none" w:pos="10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87261Y106</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7 of 8</w:t>
      </w:r>
    </w:p>
    <w:p>
      <w:pPr>
        <w:sectPr>
          <w:pgSz w:w="11900" w:h="16838" w:orient="portrait"/>
          <w:cols w:equalWidth="0" w:num="1">
            <w:col w:w="11220"/>
          </w:cols>
          <w:pgMar w:left="320" w:top="82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920" w:hanging="562"/>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See row 11 of the cover page of each Reporting Person</w:t>
      </w:r>
    </w:p>
    <w:p>
      <w:pPr>
        <w:spacing w:after="0" w:line="225" w:lineRule="exact"/>
        <w:rPr>
          <w:rFonts w:ascii="Arial" w:cs="Arial" w:eastAsia="Arial" w:hAnsi="Arial"/>
          <w:sz w:val="18"/>
          <w:szCs w:val="18"/>
          <w:color w:val="auto"/>
        </w:rPr>
      </w:pPr>
    </w:p>
    <w:p>
      <w:pPr>
        <w:ind w:left="1920" w:hanging="562"/>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500" w:hanging="575"/>
        <w:spacing w:after="0"/>
        <w:tabs>
          <w:tab w:leader="none" w:pos="2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500"/>
        <w:spacing w:after="0"/>
        <w:rPr>
          <w:rFonts w:ascii="Arial" w:cs="Arial" w:eastAsia="Arial" w:hAnsi="Arial"/>
          <w:sz w:val="18"/>
          <w:szCs w:val="18"/>
          <w:color w:val="auto"/>
        </w:rPr>
      </w:pPr>
      <w:r>
        <w:rPr>
          <w:rFonts w:ascii="Arial" w:cs="Arial" w:eastAsia="Arial" w:hAnsi="Arial"/>
          <w:sz w:val="18"/>
          <w:szCs w:val="18"/>
          <w:color w:val="auto"/>
        </w:rPr>
        <w:t>See row 5 of the cover page of each Reporting Person.</w:t>
      </w:r>
    </w:p>
    <w:p>
      <w:pPr>
        <w:spacing w:after="0" w:line="225" w:lineRule="exact"/>
        <w:rPr>
          <w:rFonts w:ascii="Arial" w:cs="Arial" w:eastAsia="Arial" w:hAnsi="Arial"/>
          <w:sz w:val="18"/>
          <w:szCs w:val="18"/>
          <w:color w:val="auto"/>
        </w:rPr>
      </w:pPr>
    </w:p>
    <w:p>
      <w:pPr>
        <w:ind w:left="2500" w:hanging="575"/>
        <w:spacing w:after="0"/>
        <w:tabs>
          <w:tab w:leader="none" w:pos="2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500"/>
        <w:spacing w:after="0"/>
        <w:rPr>
          <w:rFonts w:ascii="Arial" w:cs="Arial" w:eastAsia="Arial" w:hAnsi="Arial"/>
          <w:sz w:val="18"/>
          <w:szCs w:val="18"/>
          <w:color w:val="auto"/>
        </w:rPr>
      </w:pPr>
      <w:r>
        <w:rPr>
          <w:rFonts w:ascii="Arial" w:cs="Arial" w:eastAsia="Arial" w:hAnsi="Arial"/>
          <w:sz w:val="18"/>
          <w:szCs w:val="18"/>
          <w:color w:val="auto"/>
        </w:rPr>
        <w:t>See row 6 of the cover page of each Reporting Person.</w:t>
      </w:r>
    </w:p>
    <w:p>
      <w:pPr>
        <w:spacing w:after="0" w:line="225" w:lineRule="exact"/>
        <w:rPr>
          <w:rFonts w:ascii="Arial" w:cs="Arial" w:eastAsia="Arial" w:hAnsi="Arial"/>
          <w:sz w:val="18"/>
          <w:szCs w:val="18"/>
          <w:color w:val="auto"/>
        </w:rPr>
      </w:pPr>
    </w:p>
    <w:p>
      <w:pPr>
        <w:ind w:left="2500" w:right="4800" w:hanging="575"/>
        <w:spacing w:after="0" w:line="563" w:lineRule="auto"/>
        <w:tabs>
          <w:tab w:leader="none" w:pos="2500" w:val="left"/>
        </w:tabs>
        <w:numPr>
          <w:ilvl w:val="1"/>
          <w:numId w:val="7"/>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the cover page of each Reporting Person.</w:t>
      </w:r>
    </w:p>
    <w:p>
      <w:pPr>
        <w:jc w:val="both"/>
        <w:ind w:left="2500" w:right="4780" w:hanging="575"/>
        <w:spacing w:after="0" w:line="560" w:lineRule="auto"/>
        <w:tabs>
          <w:tab w:leader="none" w:pos="2500" w:val="left"/>
        </w:tabs>
        <w:numPr>
          <w:ilvl w:val="1"/>
          <w:numId w:val="7"/>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row 8 of the cover page of each Reporting Person.</w:t>
      </w:r>
    </w:p>
    <w:p>
      <w:pPr>
        <w:spacing w:after="0" w:line="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29" w:lineRule="exact"/>
        <w:rPr>
          <w:sz w:val="20"/>
          <w:szCs w:val="20"/>
          <w:color w:val="auto"/>
        </w:rPr>
      </w:pPr>
    </w:p>
    <w:p>
      <w:pPr>
        <w:ind w:left="1360" w:right="2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60" w:right="700" w:hanging="1349"/>
        <w:spacing w:after="0" w:line="282" w:lineRule="auto"/>
        <w:tabs>
          <w:tab w:leader="none" w:pos="13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360" w:right="1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7" w:name="page8"/>
    <w:bookmarkEnd w:id="7"/>
    <w:p>
      <w:pPr>
        <w:ind w:left="40"/>
        <w:spacing w:after="0"/>
        <w:tabs>
          <w:tab w:leader="none" w:pos="4920" w:val="left"/>
          <w:tab w:leader="none" w:pos="10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5900420</wp:posOffset>
            </wp:positionH>
            <wp:positionV relativeFrom="page">
              <wp:posOffset>517525</wp:posOffset>
            </wp:positionV>
            <wp:extent cx="14401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87261Y106</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8 of 8</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15, 2021</w:t>
      </w:r>
    </w:p>
    <w:p>
      <w:pPr>
        <w:spacing w:after="0" w:line="200" w:lineRule="exact"/>
        <w:rPr>
          <w:sz w:val="20"/>
          <w:szCs w:val="20"/>
          <w:color w:val="auto"/>
        </w:rPr>
      </w:pPr>
    </w:p>
    <w:p>
      <w:pPr>
        <w:spacing w:after="0" w:line="23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Maersk Supply Service A/S</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Frederik Olsson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Fredrik Olsson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A.P. Møller - Mærsk A/S</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Caroline Pontoppidan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Caroline Pontoppidan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 P. Møller Holding A/S</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Martin Larsen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A.P. Møller og Hustru Chastine Mc-Kinney</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Møllers Fond til almene Formaal</w:t>
      </w:r>
    </w:p>
    <w:p>
      <w:pPr>
        <w:spacing w:after="0" w:line="200" w:lineRule="exact"/>
        <w:rPr>
          <w:sz w:val="20"/>
          <w:szCs w:val="20"/>
          <w:color w:val="auto"/>
        </w:rPr>
      </w:pPr>
    </w:p>
    <w:p>
      <w:pPr>
        <w:spacing w:after="0" w:line="227"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Mads Lebech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Mads Lebech</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JOINT FILING AGREEMENT</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PURSUANT TO RULE 13d-1(k)</w:t>
      </w:r>
    </w:p>
    <w:p>
      <w:pPr>
        <w:spacing w:after="0" w:line="211"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2021</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Maersk Supply Service A/S</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Frederik Olsson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Fredrik Olsson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A.P. Møller - Mærsk A/S</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Caroline Pontoppidan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Caroline Pontoppidan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 P. Møller Holding A/S</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Martin Larsen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A.P. Møller og Hustru Chastine Mc-Kinney</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Møllers Fond til almene Formaal</w:t>
      </w:r>
    </w:p>
    <w:p>
      <w:pPr>
        <w:spacing w:after="0" w:line="200" w:lineRule="exact"/>
        <w:rPr>
          <w:sz w:val="20"/>
          <w:szCs w:val="20"/>
          <w:color w:val="auto"/>
        </w:rPr>
      </w:pPr>
    </w:p>
    <w:p>
      <w:pPr>
        <w:spacing w:after="0" w:line="227"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Mads Lebech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Mads Lebech</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657225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1"/>
    </w:lvl>
    <w:lvl w:ilvl="1">
      <w:lvlJc w:val="left"/>
      <w:lvlText w:val="%2."/>
      <w:numFmt w:val="decimal"/>
      <w:start w:val="1"/>
    </w:lvl>
  </w:abstractNum>
  <w:abstractNum w:abstractNumId="3">
    <w:nsid w:val="3D1B58BA"/>
    <w:multiLevelType w:val="hybridMultilevel"/>
    <w:lvl w:ilvl="0">
      <w:lvlJc w:val="left"/>
      <w:lvlText w:val="(%1)"/>
      <w:numFmt w:val="lowerLetter"/>
      <w:start w:val="2"/>
    </w:lvl>
    <w:lvl w:ilvl="1">
      <w:lvlJc w:val="left"/>
      <w:lvlText w:val="%2"/>
      <w:numFmt w:val="decimal"/>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2021-10-15T07:09:14Z</dcterms:created>
  <dcterms:modified xsi:type="dcterms:W3CDTF">2021-10-15T07:09:14Z</dcterms:modified>
</cp:coreProperties>
</file>