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0"/>
          <w:szCs w:val="20"/>
          <w:color w:val="auto"/>
        </w:rPr>
        <w:t>SECURITIES AND EXCHANGE COMMISSION</w:t>
      </w:r>
    </w:p>
    <w:p>
      <w:pPr>
        <w:spacing w:after="0" w:line="16"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Washington, D.C. 20549</w:t>
      </w:r>
    </w:p>
    <w:p>
      <w:pPr>
        <w:spacing w:after="0" w:line="213"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SCHEDULE 13G</w:t>
      </w:r>
    </w:p>
    <w:p>
      <w:pPr>
        <w:spacing w:after="0" w:line="22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Under the Securities Exchange Act of 1934</w:t>
      </w:r>
    </w:p>
    <w:p>
      <w:pPr>
        <w:spacing w:after="0" w:line="200" w:lineRule="exact"/>
        <w:rPr>
          <w:sz w:val="24"/>
          <w:szCs w:val="24"/>
          <w:color w:val="auto"/>
        </w:rPr>
      </w:pPr>
    </w:p>
    <w:p>
      <w:pPr>
        <w:spacing w:after="0" w:line="259"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Sustainable Opportunities Acquisition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(Name of Issuer)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Class A Ordinary Shares included as part of the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(Title of Class of Securities)</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G8598Y109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(CUSIP Number)</w:t>
      </w:r>
    </w:p>
    <w:p>
      <w:pPr>
        <w:spacing w:after="0" w:line="222"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10160</wp:posOffset>
            </wp:positionV>
            <wp:extent cx="70123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2305" cy="889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20"/>
          <w:szCs w:val="20"/>
          <w:color w:val="auto"/>
        </w:rPr>
        <w:t>(Date of Event Which Requires Filing of this Statement)</w:t>
      </w:r>
    </w:p>
    <w:p>
      <w:pPr>
        <w:spacing w:after="0" w:line="200" w:lineRule="exact"/>
        <w:rPr>
          <w:sz w:val="24"/>
          <w:szCs w:val="24"/>
          <w:color w:val="auto"/>
        </w:rPr>
      </w:pPr>
    </w:p>
    <w:p>
      <w:pPr>
        <w:spacing w:after="0" w:line="251" w:lineRule="exact"/>
        <w:rPr>
          <w:sz w:val="24"/>
          <w:szCs w:val="24"/>
          <w:color w:val="auto"/>
        </w:rPr>
      </w:pPr>
    </w:p>
    <w:p>
      <w:pPr>
        <w:ind w:left="100"/>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29" w:lineRule="exact"/>
        <w:rPr>
          <w:sz w:val="24"/>
          <w:szCs w:val="24"/>
          <w:color w:val="auto"/>
        </w:rPr>
      </w:pPr>
    </w:p>
    <w:p>
      <w:pPr>
        <w:jc w:val="both"/>
        <w:ind w:left="720" w:right="9020" w:hanging="80"/>
        <w:spacing w:after="0" w:line="299" w:lineRule="auto"/>
        <w:tabs>
          <w:tab w:leader="none" w:pos="1013"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 o Rule 13d-1(c) o Rule 13d-1(d)</w:t>
      </w:r>
    </w:p>
    <w:p>
      <w:pPr>
        <w:spacing w:after="0" w:line="158" w:lineRule="exact"/>
        <w:rPr>
          <w:sz w:val="24"/>
          <w:szCs w:val="24"/>
          <w:color w:val="auto"/>
        </w:rPr>
      </w:pPr>
    </w:p>
    <w:p>
      <w:pPr>
        <w:jc w:val="center"/>
        <w:ind w:right="-99"/>
        <w:spacing w:after="0"/>
        <w:rPr>
          <w:sz w:val="20"/>
          <w:szCs w:val="20"/>
          <w:color w:val="auto"/>
        </w:rPr>
      </w:pPr>
      <w:r>
        <w:rPr>
          <w:rFonts w:ascii="Arial" w:cs="Arial" w:eastAsia="Arial" w:hAnsi="Arial"/>
          <w:sz w:val="20"/>
          <w:szCs w:val="20"/>
          <w:color w:val="auto"/>
        </w:rPr>
        <w:t>(Page 1 of 8 Pages)</w:t>
      </w:r>
    </w:p>
    <w:p>
      <w:pPr>
        <w:spacing w:after="0" w:line="92" w:lineRule="exact"/>
        <w:rPr>
          <w:sz w:val="24"/>
          <w:szCs w:val="24"/>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5" w:lineRule="exact"/>
        <w:rPr>
          <w:sz w:val="24"/>
          <w:szCs w:val="24"/>
          <w:color w:val="auto"/>
        </w:rPr>
      </w:pPr>
    </w:p>
    <w:p>
      <w:pPr>
        <w:ind w:firstLine="648"/>
        <w:spacing w:after="0" w:line="29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06" w:lineRule="exact"/>
        <w:rPr>
          <w:sz w:val="24"/>
          <w:szCs w:val="24"/>
          <w:color w:val="auto"/>
        </w:rPr>
      </w:pPr>
    </w:p>
    <w:p>
      <w:pPr>
        <w:ind w:right="180" w:firstLine="648"/>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140"/>
          </w:cols>
          <w:pgMar w:left="320" w:top="460" w:right="4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Glazer Capital, LLC</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584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480" w:type="dxa"/>
            <w:vAlign w:val="bottom"/>
          </w:tcPr>
          <w:p>
            <w:pPr>
              <w:ind w:left="100"/>
              <w:spacing w:after="0"/>
              <w:rPr>
                <w:sz w:val="20"/>
                <w:szCs w:val="20"/>
                <w:color w:val="auto"/>
              </w:rPr>
            </w:pPr>
            <w:r>
              <w:rPr>
                <w:rFonts w:ascii="Arial" w:cs="Arial" w:eastAsia="Arial" w:hAnsi="Arial"/>
                <w:sz w:val="16"/>
                <w:szCs w:val="16"/>
                <w:color w:val="auto"/>
              </w:rPr>
              <w:t>SEC USE ONLY</w:t>
            </w:r>
          </w:p>
        </w:tc>
        <w:tc>
          <w:tcPr>
            <w:tcW w:w="584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2"/>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7320" w:type="dxa"/>
            <w:vAlign w:val="bottom"/>
            <w:gridSpan w:val="2"/>
          </w:tcPr>
          <w:p>
            <w:pPr>
              <w:ind w:left="420"/>
              <w:spacing w:after="0"/>
              <w:rPr>
                <w:sz w:val="20"/>
                <w:szCs w:val="20"/>
                <w:color w:val="auto"/>
              </w:rPr>
            </w:pPr>
            <w:r>
              <w:rPr>
                <w:rFonts w:ascii="Arial" w:cs="Arial" w:eastAsia="Arial" w:hAnsi="Arial"/>
                <w:sz w:val="20"/>
                <w:szCs w:val="20"/>
                <w:color w:val="auto"/>
              </w:rPr>
              <w:t>State of Delaware</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5840" w:type="dxa"/>
            <w:vAlign w:val="bottom"/>
          </w:tcPr>
          <w:p>
            <w:pPr>
              <w:ind w:left="10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584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1,532,363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5840" w:type="dxa"/>
            <w:vAlign w:val="bottom"/>
            <w:vMerge w:val="restart"/>
          </w:tcPr>
          <w:p>
            <w:pPr>
              <w:ind w:left="10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5840" w:type="dxa"/>
            <w:vAlign w:val="bottom"/>
          </w:tcPr>
          <w:p>
            <w:pPr>
              <w:ind w:left="420"/>
              <w:spacing w:after="0"/>
              <w:rPr>
                <w:sz w:val="20"/>
                <w:szCs w:val="20"/>
                <w:color w:val="auto"/>
              </w:rPr>
            </w:pPr>
            <w:r>
              <w:rPr>
                <w:rFonts w:ascii="Arial" w:cs="Arial" w:eastAsia="Arial" w:hAnsi="Arial"/>
                <w:sz w:val="20"/>
                <w:szCs w:val="20"/>
                <w:color w:val="auto"/>
              </w:rPr>
              <w:t>1,532,363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1,532,363</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5.1%</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2"/>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OO</w:t>
            </w:r>
          </w:p>
        </w:tc>
        <w:tc>
          <w:tcPr>
            <w:tcW w:w="584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00"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1820" w:type="dxa"/>
            <w:vAlign w:val="bottom"/>
            <w:tcBorders>
              <w:top w:val="single" w:sz="8" w:color="auto"/>
              <w:left w:val="single" w:sz="8" w:color="auto"/>
              <w:right w:val="single" w:sz="8" w:color="auto"/>
            </w:tcBorders>
          </w:tcPr>
          <w:p>
            <w:pPr>
              <w:jc w:val="right"/>
              <w:spacing w:after="0" w:line="269" w:lineRule="exact"/>
              <w:rPr>
                <w:sz w:val="20"/>
                <w:szCs w:val="20"/>
                <w:color w:val="auto"/>
              </w:rPr>
            </w:pPr>
            <w:r>
              <w:rPr>
                <w:rFonts w:ascii="Arial" w:cs="Arial" w:eastAsia="Arial" w:hAnsi="Arial"/>
                <w:sz w:val="29"/>
                <w:szCs w:val="29"/>
                <w:b w:val="1"/>
                <w:bCs w:val="1"/>
                <w:color w:val="auto"/>
              </w:rPr>
              <w:t>1</w:t>
            </w:r>
          </w:p>
        </w:tc>
        <w:tc>
          <w:tcPr>
            <w:tcW w:w="7320" w:type="dxa"/>
            <w:vAlign w:val="bottom"/>
            <w:tcBorders>
              <w:top w:val="single" w:sz="8" w:color="auto"/>
            </w:tcBorders>
            <w:gridSpan w:val="3"/>
          </w:tcPr>
          <w:p>
            <w:pPr>
              <w:ind w:left="100"/>
              <w:spacing w:after="0"/>
              <w:rPr>
                <w:sz w:val="20"/>
                <w:szCs w:val="20"/>
                <w:color w:val="auto"/>
              </w:rPr>
            </w:pPr>
            <w:r>
              <w:rPr>
                <w:rFonts w:ascii="Arial" w:cs="Arial" w:eastAsia="Arial" w:hAnsi="Arial"/>
                <w:sz w:val="16"/>
                <w:szCs w:val="16"/>
                <w:color w:val="auto"/>
              </w:rPr>
              <w:t>NAME OF REPORTING PERSON</w:t>
            </w:r>
          </w:p>
        </w:tc>
        <w:tc>
          <w:tcPr>
            <w:tcW w:w="210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89"/>
              </w:rPr>
              <w:t>Paul J. Glazer</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7320" w:type="dxa"/>
            <w:vAlign w:val="bottom"/>
            <w:tcBorders>
              <w:bottom w:val="single" w:sz="8" w:color="auto"/>
            </w:tcBorders>
            <w:gridSpan w:val="3"/>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33"/>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THE APPROPRIATE BOX IF A MEMBER OF A GROUP</w:t>
            </w:r>
          </w:p>
        </w:tc>
        <w:tc>
          <w:tcPr>
            <w:tcW w:w="2100" w:type="dxa"/>
            <w:vAlign w:val="bottom"/>
            <w:tcBorders>
              <w:right w:val="single" w:sz="8" w:color="auto"/>
            </w:tcBorders>
          </w:tcPr>
          <w:p>
            <w:pPr>
              <w:jc w:val="center"/>
              <w:ind w:left="26"/>
              <w:spacing w:after="0" w:line="322" w:lineRule="exact"/>
              <w:rPr>
                <w:sz w:val="20"/>
                <w:szCs w:val="20"/>
                <w:color w:val="auto"/>
              </w:rPr>
            </w:pPr>
            <w:r>
              <w:rPr>
                <w:rFonts w:ascii="Arial" w:cs="Arial" w:eastAsia="Arial" w:hAnsi="Arial"/>
                <w:sz w:val="20"/>
                <w:szCs w:val="20"/>
                <w:color w:val="auto"/>
                <w:w w:val="89"/>
              </w:rPr>
              <w:t xml:space="preserve">(a) </w:t>
            </w:r>
            <w:r>
              <w:rPr>
                <w:rFonts w:ascii="MS PGothic" w:cs="MS PGothic" w:eastAsia="MS PGothic" w:hAnsi="MS PGothic"/>
                <w:sz w:val="28"/>
                <w:szCs w:val="28"/>
                <w:color w:val="auto"/>
                <w:w w:val="89"/>
              </w:rPr>
              <w:t>☐</w:t>
            </w:r>
          </w:p>
        </w:tc>
        <w:tc>
          <w:tcPr>
            <w:tcW w:w="0" w:type="dxa"/>
            <w:vAlign w:val="bottom"/>
          </w:tcPr>
          <w:p>
            <w:pPr>
              <w:spacing w:after="0"/>
              <w:rPr>
                <w:sz w:val="1"/>
                <w:szCs w:val="1"/>
                <w:color w:val="auto"/>
              </w:rPr>
            </w:pPr>
          </w:p>
        </w:tc>
      </w:tr>
      <w:tr>
        <w:trPr>
          <w:trHeight w:val="416"/>
        </w:trPr>
        <w:tc>
          <w:tcPr>
            <w:tcW w:w="1820" w:type="dxa"/>
            <w:vAlign w:val="bottom"/>
            <w:tcBorders>
              <w:left w:val="single" w:sz="8" w:color="auto"/>
              <w:bottom w:val="single" w:sz="8" w:color="auto"/>
              <w:right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760" w:type="dxa"/>
            <w:vAlign w:val="bottom"/>
            <w:tcBorders>
              <w:bottom w:val="single" w:sz="8" w:color="auto"/>
            </w:tcBorders>
          </w:tcPr>
          <w:p>
            <w:pPr>
              <w:spacing w:after="0"/>
              <w:rPr>
                <w:sz w:val="24"/>
                <w:szCs w:val="24"/>
                <w:color w:val="auto"/>
              </w:rPr>
            </w:pPr>
          </w:p>
        </w:tc>
        <w:tc>
          <w:tcPr>
            <w:tcW w:w="2100" w:type="dxa"/>
            <w:vAlign w:val="bottom"/>
            <w:tcBorders>
              <w:bottom w:val="single" w:sz="8" w:color="auto"/>
              <w:right w:val="single" w:sz="8" w:color="auto"/>
            </w:tcBorders>
          </w:tcPr>
          <w:p>
            <w:pPr>
              <w:jc w:val="center"/>
              <w:ind w:left="46"/>
              <w:spacing w:after="0" w:line="322" w:lineRule="exact"/>
              <w:rPr>
                <w:sz w:val="20"/>
                <w:szCs w:val="20"/>
                <w:color w:val="auto"/>
              </w:rPr>
            </w:pPr>
            <w:r>
              <w:rPr>
                <w:rFonts w:ascii="Arial" w:cs="Arial" w:eastAsia="Arial" w:hAnsi="Arial"/>
                <w:sz w:val="20"/>
                <w:szCs w:val="20"/>
                <w:color w:val="auto"/>
                <w:w w:val="93"/>
              </w:rPr>
              <w:t xml:space="preserve">(b) </w:t>
            </w:r>
            <w:r>
              <w:rPr>
                <w:rFonts w:ascii="MS PGothic" w:cs="MS PGothic" w:eastAsia="MS PGothic" w:hAnsi="MS PGothic"/>
                <w:sz w:val="28"/>
                <w:szCs w:val="28"/>
                <w:color w:val="auto"/>
                <w:w w:val="93"/>
              </w:rPr>
              <w:t>☐</w:t>
            </w:r>
          </w:p>
        </w:tc>
        <w:tc>
          <w:tcPr>
            <w:tcW w:w="0" w:type="dxa"/>
            <w:vAlign w:val="bottom"/>
          </w:tcPr>
          <w:p>
            <w:pPr>
              <w:spacing w:after="0"/>
              <w:rPr>
                <w:sz w:val="1"/>
                <w:szCs w:val="1"/>
                <w:color w:val="auto"/>
              </w:rPr>
            </w:pPr>
          </w:p>
        </w:tc>
      </w:tr>
      <w:tr>
        <w:trPr>
          <w:trHeight w:val="404"/>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3</w:t>
            </w:r>
          </w:p>
        </w:tc>
        <w:tc>
          <w:tcPr>
            <w:tcW w:w="1560" w:type="dxa"/>
            <w:vAlign w:val="bottom"/>
            <w:gridSpan w:val="2"/>
          </w:tcPr>
          <w:p>
            <w:pPr>
              <w:ind w:left="100"/>
              <w:spacing w:after="0"/>
              <w:rPr>
                <w:sz w:val="20"/>
                <w:szCs w:val="20"/>
                <w:color w:val="auto"/>
              </w:rPr>
            </w:pPr>
            <w:r>
              <w:rPr>
                <w:rFonts w:ascii="Arial" w:cs="Arial" w:eastAsia="Arial" w:hAnsi="Arial"/>
                <w:sz w:val="16"/>
                <w:szCs w:val="16"/>
                <w:color w:val="auto"/>
              </w:rPr>
              <w:t>SEC USE ONLY</w:t>
            </w:r>
          </w:p>
        </w:tc>
        <w:tc>
          <w:tcPr>
            <w:tcW w:w="5760" w:type="dxa"/>
            <w:vAlign w:val="bottom"/>
          </w:tcPr>
          <w:p>
            <w:pPr>
              <w:spacing w:after="0"/>
              <w:rPr>
                <w:sz w:val="24"/>
                <w:szCs w:val="24"/>
                <w:color w:val="auto"/>
              </w:rPr>
            </w:pPr>
          </w:p>
        </w:tc>
        <w:tc>
          <w:tcPr>
            <w:tcW w:w="21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3"/>
        </w:trPr>
        <w:tc>
          <w:tcPr>
            <w:tcW w:w="182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tcBorders>
            <w:gridSpan w:val="3"/>
          </w:tcPr>
          <w:p>
            <w:pPr>
              <w:spacing w:after="0"/>
              <w:rPr>
                <w:sz w:val="8"/>
                <w:szCs w:val="8"/>
                <w:color w:val="auto"/>
              </w:rPr>
            </w:pPr>
          </w:p>
        </w:tc>
        <w:tc>
          <w:tcPr>
            <w:tcW w:w="21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4</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CITIZENSHIP OR PLACE OF ORGANIZATION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w w:val="93"/>
              </w:rPr>
              <w:t>United States</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ind w:left="1320"/>
              <w:spacing w:after="0" w:line="249" w:lineRule="exact"/>
              <w:rPr>
                <w:sz w:val="20"/>
                <w:szCs w:val="20"/>
                <w:color w:val="auto"/>
              </w:rPr>
            </w:pPr>
            <w:r>
              <w:rPr>
                <w:rFonts w:ascii="Arial" w:cs="Arial" w:eastAsia="Arial" w:hAnsi="Arial"/>
                <w:sz w:val="28"/>
                <w:szCs w:val="28"/>
                <w:b w:val="1"/>
                <w:bCs w:val="1"/>
                <w:color w:val="auto"/>
                <w:w w:val="76"/>
              </w:rPr>
              <w:t>5</w:t>
            </w:r>
          </w:p>
        </w:tc>
        <w:tc>
          <w:tcPr>
            <w:tcW w:w="80" w:type="dxa"/>
            <w:vAlign w:val="bottom"/>
          </w:tcPr>
          <w:p>
            <w:pPr>
              <w:spacing w:after="0"/>
              <w:rPr>
                <w:sz w:val="21"/>
                <w:szCs w:val="21"/>
                <w:color w:val="auto"/>
              </w:rPr>
            </w:pPr>
          </w:p>
        </w:tc>
        <w:tc>
          <w:tcPr>
            <w:tcW w:w="5760" w:type="dxa"/>
            <w:vAlign w:val="bottom"/>
          </w:tcPr>
          <w:p>
            <w:pPr>
              <w:ind w:left="20"/>
              <w:spacing w:after="0"/>
              <w:rPr>
                <w:sz w:val="20"/>
                <w:szCs w:val="20"/>
                <w:color w:val="auto"/>
              </w:rPr>
            </w:pPr>
            <w:r>
              <w:rPr>
                <w:rFonts w:ascii="Arial" w:cs="Arial" w:eastAsia="Arial" w:hAnsi="Arial"/>
                <w:sz w:val="16"/>
                <w:szCs w:val="16"/>
                <w:color w:val="auto"/>
              </w:rPr>
              <w:t>SOLE VOTING POWER</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NUMBER OF</w:t>
            </w:r>
          </w:p>
        </w:tc>
        <w:tc>
          <w:tcPr>
            <w:tcW w:w="14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63" w:lineRule="exact"/>
              <w:rPr>
                <w:sz w:val="20"/>
                <w:szCs w:val="20"/>
                <w:color w:val="auto"/>
              </w:rPr>
            </w:pPr>
            <w:r>
              <w:rPr>
                <w:rFonts w:ascii="Arial" w:cs="Arial" w:eastAsia="Arial" w:hAnsi="Arial"/>
                <w:sz w:val="29"/>
                <w:szCs w:val="29"/>
                <w:b w:val="1"/>
                <w:bCs w:val="1"/>
                <w:color w:val="auto"/>
                <w:w w:val="74"/>
              </w:rPr>
              <w:t>6</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VOTING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820" w:type="dxa"/>
            <w:vAlign w:val="bottom"/>
            <w:tcBorders>
              <w:left w:val="single" w:sz="8" w:color="auto"/>
              <w:right w:val="single" w:sz="8" w:color="auto"/>
            </w:tcBorders>
          </w:tcPr>
          <w:p>
            <w:pPr>
              <w:jc w:val="center"/>
              <w:spacing w:after="0" w:line="158" w:lineRule="exact"/>
              <w:rPr>
                <w:sz w:val="20"/>
                <w:szCs w:val="20"/>
                <w:color w:val="auto"/>
              </w:rPr>
            </w:pPr>
            <w:r>
              <w:rPr>
                <w:rFonts w:ascii="Arial" w:cs="Arial" w:eastAsia="Arial" w:hAnsi="Arial"/>
                <w:sz w:val="16"/>
                <w:szCs w:val="16"/>
                <w:color w:val="auto"/>
                <w:w w:val="94"/>
              </w:rPr>
              <w:t>SHARES</w:t>
            </w:r>
          </w:p>
        </w:tc>
        <w:tc>
          <w:tcPr>
            <w:tcW w:w="1480" w:type="dxa"/>
            <w:vAlign w:val="bottom"/>
            <w:tcBorders>
              <w:right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5760" w:type="dxa"/>
            <w:vAlign w:val="bottom"/>
            <w:vMerge w:val="continue"/>
          </w:tcPr>
          <w:p>
            <w:pPr>
              <w:spacing w:after="0"/>
              <w:rPr>
                <w:sz w:val="13"/>
                <w:szCs w:val="13"/>
                <w:color w:val="auto"/>
              </w:rPr>
            </w:pPr>
          </w:p>
        </w:tc>
        <w:tc>
          <w:tcPr>
            <w:tcW w:w="21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7"/>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BENEFICIALLY</w:t>
            </w: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1,532,363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8"/>
              </w:rPr>
              <w:t>OWNED BY</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7</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SOLE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1820" w:type="dxa"/>
            <w:vAlign w:val="bottom"/>
            <w:tcBorders>
              <w:left w:val="single" w:sz="8" w:color="auto"/>
              <w:right w:val="single" w:sz="8" w:color="auto"/>
            </w:tcBorders>
          </w:tcPr>
          <w:p>
            <w:pPr>
              <w:jc w:val="center"/>
              <w:spacing w:after="0" w:line="144" w:lineRule="exact"/>
              <w:rPr>
                <w:sz w:val="20"/>
                <w:szCs w:val="20"/>
                <w:color w:val="auto"/>
              </w:rPr>
            </w:pPr>
            <w:r>
              <w:rPr>
                <w:rFonts w:ascii="Arial" w:cs="Arial" w:eastAsia="Arial" w:hAnsi="Arial"/>
                <w:sz w:val="16"/>
                <w:szCs w:val="16"/>
                <w:color w:val="auto"/>
                <w:w w:val="98"/>
              </w:rPr>
              <w:t>EACH</w:t>
            </w: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61"/>
        </w:trPr>
        <w:tc>
          <w:tcPr>
            <w:tcW w:w="18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4"/>
              </w:rPr>
              <w:t>REPORTING</w:t>
            </w:r>
          </w:p>
        </w:tc>
        <w:tc>
          <w:tcPr>
            <w:tcW w:w="148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0</w:t>
            </w:r>
          </w:p>
        </w:tc>
        <w:tc>
          <w:tcPr>
            <w:tcW w:w="21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7"/>
        </w:trPr>
        <w:tc>
          <w:tcPr>
            <w:tcW w:w="18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7"/>
              </w:rPr>
              <w:t>PERSON WITH:</w:t>
            </w:r>
          </w:p>
        </w:tc>
        <w:tc>
          <w:tcPr>
            <w:tcW w:w="1480" w:type="dxa"/>
            <w:vAlign w:val="bottom"/>
            <w:tcBorders>
              <w:bottom w:val="single" w:sz="8" w:color="auto"/>
              <w:right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760" w:type="dxa"/>
            <w:vAlign w:val="bottom"/>
            <w:tcBorders>
              <w:bottom w:val="single" w:sz="8" w:color="auto"/>
            </w:tcBorders>
          </w:tcPr>
          <w:p>
            <w:pPr>
              <w:spacing w:after="0"/>
              <w:rPr>
                <w:sz w:val="6"/>
                <w:szCs w:val="6"/>
                <w:color w:val="auto"/>
              </w:rPr>
            </w:pPr>
          </w:p>
        </w:tc>
        <w:tc>
          <w:tcPr>
            <w:tcW w:w="21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182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ind w:left="1320"/>
              <w:spacing w:after="0" w:line="249" w:lineRule="exact"/>
              <w:rPr>
                <w:sz w:val="20"/>
                <w:szCs w:val="20"/>
                <w:color w:val="auto"/>
              </w:rPr>
            </w:pPr>
            <w:r>
              <w:rPr>
                <w:rFonts w:ascii="Arial" w:cs="Arial" w:eastAsia="Arial" w:hAnsi="Arial"/>
                <w:sz w:val="28"/>
                <w:szCs w:val="28"/>
                <w:b w:val="1"/>
                <w:bCs w:val="1"/>
                <w:color w:val="auto"/>
                <w:w w:val="76"/>
              </w:rPr>
              <w:t>8</w:t>
            </w:r>
          </w:p>
        </w:tc>
        <w:tc>
          <w:tcPr>
            <w:tcW w:w="80" w:type="dxa"/>
            <w:vAlign w:val="bottom"/>
          </w:tcPr>
          <w:p>
            <w:pPr>
              <w:spacing w:after="0"/>
              <w:rPr>
                <w:sz w:val="9"/>
                <w:szCs w:val="9"/>
                <w:color w:val="auto"/>
              </w:rPr>
            </w:pPr>
          </w:p>
        </w:tc>
        <w:tc>
          <w:tcPr>
            <w:tcW w:w="5760" w:type="dxa"/>
            <w:vAlign w:val="bottom"/>
            <w:vMerge w:val="restart"/>
          </w:tcPr>
          <w:p>
            <w:pPr>
              <w:ind w:left="20"/>
              <w:spacing w:after="0"/>
              <w:rPr>
                <w:sz w:val="20"/>
                <w:szCs w:val="20"/>
                <w:color w:val="auto"/>
              </w:rPr>
            </w:pPr>
            <w:r>
              <w:rPr>
                <w:rFonts w:ascii="Arial" w:cs="Arial" w:eastAsia="Arial" w:hAnsi="Arial"/>
                <w:sz w:val="16"/>
                <w:szCs w:val="16"/>
                <w:color w:val="auto"/>
              </w:rPr>
              <w:t>SHARED DISPOSITIVE POWER</w:t>
            </w:r>
          </w:p>
        </w:tc>
        <w:tc>
          <w:tcPr>
            <w:tcW w:w="21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1820" w:type="dxa"/>
            <w:vAlign w:val="bottom"/>
            <w:tcBorders>
              <w:left w:val="single" w:sz="8" w:color="auto"/>
              <w:right w:val="single" w:sz="8" w:color="auto"/>
            </w:tcBorders>
          </w:tcPr>
          <w:p>
            <w:pPr>
              <w:spacing w:after="0"/>
              <w:rPr>
                <w:sz w:val="12"/>
                <w:szCs w:val="12"/>
                <w:color w:val="auto"/>
              </w:rPr>
            </w:pPr>
          </w:p>
        </w:tc>
        <w:tc>
          <w:tcPr>
            <w:tcW w:w="1480" w:type="dxa"/>
            <w:vAlign w:val="bottom"/>
            <w:tcBorders>
              <w:right w:val="single" w:sz="8" w:color="auto"/>
            </w:tcBorders>
            <w:vMerge w:val="continue"/>
          </w:tcPr>
          <w:p>
            <w:pPr>
              <w:spacing w:after="0"/>
              <w:rPr>
                <w:sz w:val="12"/>
                <w:szCs w:val="12"/>
                <w:color w:val="auto"/>
              </w:rPr>
            </w:pPr>
          </w:p>
        </w:tc>
        <w:tc>
          <w:tcPr>
            <w:tcW w:w="80" w:type="dxa"/>
            <w:vAlign w:val="bottom"/>
          </w:tcPr>
          <w:p>
            <w:pPr>
              <w:spacing w:after="0"/>
              <w:rPr>
                <w:sz w:val="12"/>
                <w:szCs w:val="12"/>
                <w:color w:val="auto"/>
              </w:rPr>
            </w:pPr>
          </w:p>
        </w:tc>
        <w:tc>
          <w:tcPr>
            <w:tcW w:w="5760" w:type="dxa"/>
            <w:vAlign w:val="bottom"/>
            <w:vMerge w:val="continue"/>
          </w:tcPr>
          <w:p>
            <w:pPr>
              <w:spacing w:after="0"/>
              <w:rPr>
                <w:sz w:val="12"/>
                <w:szCs w:val="12"/>
                <w:color w:val="auto"/>
              </w:rPr>
            </w:pPr>
          </w:p>
        </w:tc>
        <w:tc>
          <w:tcPr>
            <w:tcW w:w="21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5760" w:type="dxa"/>
            <w:vAlign w:val="bottom"/>
          </w:tcPr>
          <w:p>
            <w:pPr>
              <w:ind w:left="340"/>
              <w:spacing w:after="0"/>
              <w:rPr>
                <w:sz w:val="20"/>
                <w:szCs w:val="20"/>
                <w:color w:val="auto"/>
              </w:rPr>
            </w:pPr>
            <w:r>
              <w:rPr>
                <w:rFonts w:ascii="Arial" w:cs="Arial" w:eastAsia="Arial" w:hAnsi="Arial"/>
                <w:sz w:val="20"/>
                <w:szCs w:val="20"/>
                <w:color w:val="auto"/>
              </w:rPr>
              <w:t>1,532,363</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right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9</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AGGREGATE AMOUNT BENEFICIALLY OWNED BY EACH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1,532,363</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447"/>
        </w:trPr>
        <w:tc>
          <w:tcPr>
            <w:tcW w:w="1820" w:type="dxa"/>
            <w:vAlign w:val="bottom"/>
            <w:tcBorders>
              <w:left w:val="single" w:sz="8" w:color="auto"/>
              <w:right w:val="single" w:sz="8" w:color="auto"/>
            </w:tcBorders>
          </w:tcPr>
          <w:p>
            <w:pPr>
              <w:jc w:val="right"/>
              <w:spacing w:after="0"/>
              <w:rPr>
                <w:sz w:val="20"/>
                <w:szCs w:val="20"/>
                <w:color w:val="auto"/>
              </w:rPr>
            </w:pPr>
            <w:r>
              <w:rPr>
                <w:rFonts w:ascii="Arial" w:cs="Arial" w:eastAsia="Arial" w:hAnsi="Arial"/>
                <w:sz w:val="29"/>
                <w:szCs w:val="29"/>
                <w:b w:val="1"/>
                <w:bCs w:val="1"/>
                <w:color w:val="auto"/>
              </w:rPr>
              <w:t>10</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CHECK BOX IF THE AGGREGATE AMOUNT IN ROW (9) EXCLUDES CERTAIN SHARES</w:t>
            </w:r>
          </w:p>
        </w:tc>
        <w:tc>
          <w:tcPr>
            <w:tcW w:w="2100" w:type="dxa"/>
            <w:vAlign w:val="bottom"/>
            <w:tcBorders>
              <w:right w:val="single" w:sz="8" w:color="auto"/>
            </w:tcBorders>
          </w:tcPr>
          <w:p>
            <w:pPr>
              <w:jc w:val="center"/>
              <w:spacing w:after="0" w:line="291" w:lineRule="exact"/>
              <w:rPr>
                <w:sz w:val="20"/>
                <w:szCs w:val="20"/>
                <w:color w:val="auto"/>
              </w:rPr>
            </w:pPr>
            <w:r>
              <w:rPr>
                <w:rFonts w:ascii="MS PGothic" w:cs="MS PGothic" w:eastAsia="MS PGothic" w:hAnsi="MS PGothic"/>
                <w:sz w:val="29"/>
                <w:szCs w:val="29"/>
                <w:color w:val="auto"/>
                <w:w w:val="89"/>
              </w:rPr>
              <w:t>☐</w:t>
            </w:r>
          </w:p>
        </w:tc>
        <w:tc>
          <w:tcPr>
            <w:tcW w:w="0" w:type="dxa"/>
            <w:vAlign w:val="bottom"/>
          </w:tcPr>
          <w:p>
            <w:pPr>
              <w:spacing w:after="0"/>
              <w:rPr>
                <w:sz w:val="1"/>
                <w:szCs w:val="1"/>
                <w:color w:val="auto"/>
              </w:rPr>
            </w:pPr>
          </w:p>
        </w:tc>
      </w:tr>
      <w:tr>
        <w:trPr>
          <w:trHeight w:val="60"/>
        </w:trPr>
        <w:tc>
          <w:tcPr>
            <w:tcW w:w="182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5840" w:type="dxa"/>
            <w:vAlign w:val="bottom"/>
            <w:tcBorders>
              <w:bottom w:val="single" w:sz="8" w:color="auto"/>
            </w:tcBorders>
            <w:gridSpan w:val="2"/>
          </w:tcPr>
          <w:p>
            <w:pPr>
              <w:spacing w:after="0"/>
              <w:rPr>
                <w:sz w:val="5"/>
                <w:szCs w:val="5"/>
                <w:color w:val="auto"/>
              </w:rPr>
            </w:pPr>
          </w:p>
        </w:tc>
        <w:tc>
          <w:tcPr>
            <w:tcW w:w="210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11</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PERCENT OF CLASS REPRESENTED BY AMOUNT IN ROW (9)</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480" w:type="dxa"/>
            <w:vAlign w:val="bottom"/>
          </w:tcPr>
          <w:p>
            <w:pPr>
              <w:ind w:left="420"/>
              <w:spacing w:after="0"/>
              <w:rPr>
                <w:sz w:val="20"/>
                <w:szCs w:val="20"/>
                <w:color w:val="auto"/>
              </w:rPr>
            </w:pPr>
            <w:r>
              <w:rPr>
                <w:rFonts w:ascii="Arial" w:cs="Arial" w:eastAsia="Arial" w:hAnsi="Arial"/>
                <w:sz w:val="20"/>
                <w:szCs w:val="20"/>
                <w:color w:val="auto"/>
              </w:rPr>
              <w:t>5.1%</w:t>
            </w:r>
          </w:p>
        </w:tc>
        <w:tc>
          <w:tcPr>
            <w:tcW w:w="80" w:type="dxa"/>
            <w:vAlign w:val="bottom"/>
          </w:tcPr>
          <w:p>
            <w:pPr>
              <w:spacing w:after="0"/>
              <w:rPr>
                <w:sz w:val="21"/>
                <w:szCs w:val="21"/>
                <w:color w:val="auto"/>
              </w:rPr>
            </w:pP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5840" w:type="dxa"/>
            <w:vAlign w:val="bottom"/>
            <w:tcBorders>
              <w:bottom w:val="single" w:sz="8" w:color="auto"/>
            </w:tcBorders>
            <w:gridSpan w:val="2"/>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1820" w:type="dxa"/>
            <w:vAlign w:val="bottom"/>
            <w:tcBorders>
              <w:left w:val="single" w:sz="8" w:color="auto"/>
              <w:right w:val="single" w:sz="8" w:color="auto"/>
            </w:tcBorders>
          </w:tcPr>
          <w:p>
            <w:pPr>
              <w:jc w:val="right"/>
              <w:spacing w:after="0" w:line="249" w:lineRule="exact"/>
              <w:rPr>
                <w:sz w:val="20"/>
                <w:szCs w:val="20"/>
                <w:color w:val="auto"/>
              </w:rPr>
            </w:pPr>
            <w:r>
              <w:rPr>
                <w:rFonts w:ascii="Arial" w:cs="Arial" w:eastAsia="Arial" w:hAnsi="Arial"/>
                <w:sz w:val="28"/>
                <w:szCs w:val="28"/>
                <w:b w:val="1"/>
                <w:bCs w:val="1"/>
                <w:color w:val="auto"/>
              </w:rPr>
              <w:t>12</w:t>
            </w:r>
          </w:p>
        </w:tc>
        <w:tc>
          <w:tcPr>
            <w:tcW w:w="7320" w:type="dxa"/>
            <w:vAlign w:val="bottom"/>
            <w:gridSpan w:val="3"/>
          </w:tcPr>
          <w:p>
            <w:pPr>
              <w:ind w:left="100"/>
              <w:spacing w:after="0"/>
              <w:rPr>
                <w:sz w:val="20"/>
                <w:szCs w:val="20"/>
                <w:color w:val="auto"/>
              </w:rPr>
            </w:pPr>
            <w:r>
              <w:rPr>
                <w:rFonts w:ascii="Arial" w:cs="Arial" w:eastAsia="Arial" w:hAnsi="Arial"/>
                <w:sz w:val="16"/>
                <w:szCs w:val="16"/>
                <w:color w:val="auto"/>
              </w:rPr>
              <w:t>TYPE OF REPORTING PERSON</w:t>
            </w: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820" w:type="dxa"/>
            <w:vAlign w:val="bottom"/>
            <w:tcBorders>
              <w:left w:val="single" w:sz="8" w:color="auto"/>
              <w:right w:val="single" w:sz="8" w:color="auto"/>
            </w:tcBorders>
          </w:tcPr>
          <w:p>
            <w:pPr>
              <w:spacing w:after="0"/>
              <w:rPr>
                <w:sz w:val="21"/>
                <w:szCs w:val="21"/>
                <w:color w:val="auto"/>
              </w:rPr>
            </w:pPr>
          </w:p>
        </w:tc>
        <w:tc>
          <w:tcPr>
            <w:tcW w:w="1560" w:type="dxa"/>
            <w:vAlign w:val="bottom"/>
            <w:gridSpan w:val="2"/>
          </w:tcPr>
          <w:p>
            <w:pPr>
              <w:ind w:left="420"/>
              <w:spacing w:after="0"/>
              <w:rPr>
                <w:sz w:val="20"/>
                <w:szCs w:val="20"/>
                <w:color w:val="auto"/>
              </w:rPr>
            </w:pPr>
            <w:r>
              <w:rPr>
                <w:rFonts w:ascii="Arial" w:cs="Arial" w:eastAsia="Arial" w:hAnsi="Arial"/>
                <w:sz w:val="20"/>
                <w:szCs w:val="20"/>
                <w:color w:val="auto"/>
              </w:rPr>
              <w:t>IN</w:t>
            </w:r>
          </w:p>
        </w:tc>
        <w:tc>
          <w:tcPr>
            <w:tcW w:w="5760" w:type="dxa"/>
            <w:vAlign w:val="bottom"/>
          </w:tcPr>
          <w:p>
            <w:pPr>
              <w:spacing w:after="0"/>
              <w:rPr>
                <w:sz w:val="21"/>
                <w:szCs w:val="21"/>
                <w:color w:val="auto"/>
              </w:rPr>
            </w:pPr>
          </w:p>
        </w:tc>
        <w:tc>
          <w:tcPr>
            <w:tcW w:w="21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1820" w:type="dxa"/>
            <w:vAlign w:val="bottom"/>
            <w:tcBorders>
              <w:left w:val="single" w:sz="8" w:color="auto"/>
              <w:bottom w:val="single" w:sz="8" w:color="auto"/>
              <w:right w:val="single" w:sz="8" w:color="auto"/>
            </w:tcBorders>
          </w:tcPr>
          <w:p>
            <w:pPr>
              <w:spacing w:after="0"/>
              <w:rPr>
                <w:sz w:val="7"/>
                <w:szCs w:val="7"/>
                <w:color w:val="auto"/>
              </w:rPr>
            </w:pPr>
          </w:p>
        </w:tc>
        <w:tc>
          <w:tcPr>
            <w:tcW w:w="148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760" w:type="dxa"/>
            <w:vAlign w:val="bottom"/>
            <w:tcBorders>
              <w:bottom w:val="single" w:sz="8" w:color="auto"/>
            </w:tcBorders>
          </w:tcPr>
          <w:p>
            <w:pPr>
              <w:spacing w:after="0"/>
              <w:rPr>
                <w:sz w:val="7"/>
                <w:szCs w:val="7"/>
                <w:color w:val="auto"/>
              </w:rPr>
            </w:pPr>
          </w:p>
        </w:tc>
        <w:tc>
          <w:tcPr>
            <w:tcW w:w="210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29" w:right="339" w:bottom="1440" w:gutter="0" w:footer="0" w:header="0"/>
        </w:sectPr>
      </w:pPr>
    </w:p>
    <w:bookmarkStart w:id="3" w:name="page4"/>
    <w:bookmarkEnd w:id="3"/>
    <w:p>
      <w:pPr>
        <w:spacing w:after="0"/>
        <w:tabs>
          <w:tab w:leader="none" w:pos="1680" w:val="left"/>
        </w:tabs>
        <w:rPr>
          <w:sz w:val="20"/>
          <w:szCs w:val="20"/>
          <w:color w:val="auto"/>
        </w:rPr>
      </w:pPr>
      <w:r>
        <w:rPr>
          <w:rFonts w:ascii="Arial" w:cs="Arial" w:eastAsia="Arial" w:hAnsi="Arial"/>
          <w:sz w:val="20"/>
          <w:szCs w:val="20"/>
          <w:b w:val="1"/>
          <w:bCs w:val="1"/>
          <w:color w:val="auto"/>
        </w:rPr>
        <w:t>Item 1(a).</w:t>
      </w:r>
      <w:r>
        <w:rPr>
          <w:sz w:val="20"/>
          <w:szCs w:val="20"/>
          <w:color w:val="auto"/>
        </w:rPr>
        <w:tab/>
      </w:r>
      <w:r>
        <w:rPr>
          <w:rFonts w:ascii="Arial" w:cs="Arial" w:eastAsia="Arial" w:hAnsi="Arial"/>
          <w:sz w:val="19"/>
          <w:szCs w:val="19"/>
          <w:b w:val="1"/>
          <w:bCs w:val="1"/>
          <w:color w:val="auto"/>
        </w:rPr>
        <w:t>NAME OF ISSUER:</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name of the issuer is Sustainable Opportunities Acquisition Corp (the "</w:t>
      </w:r>
      <w:r>
        <w:rPr>
          <w:rFonts w:ascii="Arial" w:cs="Arial" w:eastAsia="Arial" w:hAnsi="Arial"/>
          <w:sz w:val="20"/>
          <w:szCs w:val="20"/>
          <w:u w:val="single" w:color="auto"/>
          <w:color w:val="auto"/>
        </w:rPr>
        <w:t>Company</w:t>
      </w:r>
      <w:r>
        <w:rPr>
          <w:rFonts w:ascii="Arial" w:cs="Arial" w:eastAsia="Arial" w:hAnsi="Arial"/>
          <w:sz w:val="20"/>
          <w:szCs w:val="20"/>
          <w:color w:val="auto"/>
        </w:rPr>
        <w:t>").</w:t>
      </w:r>
    </w:p>
    <w:p>
      <w:pPr>
        <w:spacing w:after="0" w:line="223" w:lineRule="exact"/>
        <w:rPr>
          <w:sz w:val="20"/>
          <w:szCs w:val="20"/>
          <w:color w:val="auto"/>
        </w:rPr>
      </w:pPr>
    </w:p>
    <w:p>
      <w:pPr>
        <w:spacing w:after="0"/>
        <w:tabs>
          <w:tab w:leader="none" w:pos="1680" w:val="left"/>
        </w:tabs>
        <w:rPr>
          <w:sz w:val="20"/>
          <w:szCs w:val="20"/>
          <w:color w:val="auto"/>
        </w:rPr>
      </w:pPr>
      <w:r>
        <w:rPr>
          <w:rFonts w:ascii="Arial" w:cs="Arial" w:eastAsia="Arial" w:hAnsi="Arial"/>
          <w:sz w:val="20"/>
          <w:szCs w:val="20"/>
          <w:b w:val="1"/>
          <w:bCs w:val="1"/>
          <w:color w:val="auto"/>
        </w:rPr>
        <w:t>Item 1(b).</w:t>
      </w:r>
      <w:r>
        <w:rPr>
          <w:sz w:val="20"/>
          <w:szCs w:val="20"/>
          <w:color w:val="auto"/>
        </w:rPr>
        <w:tab/>
      </w:r>
      <w:r>
        <w:rPr>
          <w:rFonts w:ascii="Arial" w:cs="Arial" w:eastAsia="Arial" w:hAnsi="Arial"/>
          <w:sz w:val="19"/>
          <w:szCs w:val="19"/>
          <w:b w:val="1"/>
          <w:bCs w:val="1"/>
          <w:color w:val="auto"/>
        </w:rPr>
        <w:t>ADDRESS OF ISSUER'S PRINCIPAL EXECUTIVE OFFICES:</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The Company's principal executive offices are located at 1601 Bryan Street, Suite 4141, Dallas, Texas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2(a).</w:t>
            </w:r>
          </w:p>
        </w:tc>
        <w:tc>
          <w:tcPr>
            <w:tcW w:w="9980" w:type="dxa"/>
            <w:vAlign w:val="bottom"/>
            <w:gridSpan w:val="9"/>
          </w:tcPr>
          <w:p>
            <w:pPr>
              <w:ind w:left="320"/>
              <w:spacing w:after="0"/>
              <w:rPr>
                <w:sz w:val="20"/>
                <w:szCs w:val="20"/>
                <w:color w:val="auto"/>
              </w:rPr>
            </w:pPr>
            <w:r>
              <w:rPr>
                <w:rFonts w:ascii="Arial" w:cs="Arial" w:eastAsia="Arial" w:hAnsi="Arial"/>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This statement is filed by:</w:t>
            </w:r>
          </w:p>
        </w:tc>
      </w:tr>
      <w:tr>
        <w:trPr>
          <w:trHeight w:val="414"/>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8"/>
              </w:rPr>
              <w:t>Glazer Capital, LLC, a Delaware limited liability company ("Glazer Capital"), with respect to the shares of</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33"/>
        </w:trPr>
        <w:tc>
          <w:tcPr>
            <w:tcW w:w="1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3"/>
              </w:rPr>
              <w:t>Common Stock (as defined in Item 2(d)) held by certain funds and managed accounts to which Glazer Capital</w:t>
            </w:r>
          </w:p>
        </w:tc>
      </w:tr>
      <w:tr>
        <w:trPr>
          <w:trHeight w:val="206"/>
        </w:trPr>
        <w:tc>
          <w:tcPr>
            <w:tcW w:w="1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160" w:type="dxa"/>
            <w:vAlign w:val="bottom"/>
            <w:gridSpan w:val="8"/>
          </w:tcPr>
          <w:p>
            <w:pPr>
              <w:ind w:left="80"/>
              <w:spacing w:after="0" w:line="206" w:lineRule="exact"/>
              <w:rPr>
                <w:sz w:val="20"/>
                <w:szCs w:val="20"/>
                <w:color w:val="auto"/>
              </w:rPr>
            </w:pPr>
            <w:r>
              <w:rPr>
                <w:rFonts w:ascii="Arial" w:cs="Arial" w:eastAsia="Arial" w:hAnsi="Arial"/>
                <w:sz w:val="20"/>
                <w:szCs w:val="20"/>
                <w:color w:val="auto"/>
              </w:rPr>
              <w:t>serves as investment manager (collectively, the "Glazer Funds"); and</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39"/>
        </w:trPr>
        <w:tc>
          <w:tcPr>
            <w:tcW w:w="1260" w:type="dxa"/>
            <w:vAlign w:val="bottom"/>
          </w:tcPr>
          <w:p>
            <w:pPr>
              <w:spacing w:after="0"/>
              <w:rPr>
                <w:sz w:val="24"/>
                <w:szCs w:val="24"/>
                <w:color w:val="auto"/>
              </w:rPr>
            </w:pPr>
          </w:p>
        </w:tc>
        <w:tc>
          <w:tcPr>
            <w:tcW w:w="820" w:type="dxa"/>
            <w:vAlign w:val="bottom"/>
          </w:tcPr>
          <w:p>
            <w:pPr>
              <w:ind w:left="320"/>
              <w:spacing w:after="0"/>
              <w:rPr>
                <w:sz w:val="20"/>
                <w:szCs w:val="20"/>
                <w:color w:val="auto"/>
              </w:rPr>
            </w:pPr>
            <w:r>
              <w:rPr>
                <w:rFonts w:ascii="Arial" w:cs="Arial" w:eastAsia="Arial" w:hAnsi="Arial"/>
                <w:sz w:val="20"/>
                <w:szCs w:val="20"/>
                <w:color w:val="auto"/>
              </w:rPr>
              <w:t>(ii)</w:t>
            </w:r>
          </w:p>
        </w:tc>
        <w:tc>
          <w:tcPr>
            <w:tcW w:w="9160" w:type="dxa"/>
            <w:vAlign w:val="bottom"/>
            <w:gridSpan w:val="8"/>
          </w:tcPr>
          <w:p>
            <w:pPr>
              <w:ind w:left="80"/>
              <w:spacing w:after="0"/>
              <w:rPr>
                <w:sz w:val="20"/>
                <w:szCs w:val="20"/>
                <w:color w:val="auto"/>
              </w:rPr>
            </w:pPr>
            <w:r>
              <w:rPr>
                <w:rFonts w:ascii="Arial" w:cs="Arial" w:eastAsia="Arial" w:hAnsi="Arial"/>
                <w:sz w:val="20"/>
                <w:szCs w:val="20"/>
                <w:color w:val="auto"/>
                <w:w w:val="94"/>
              </w:rPr>
              <w:t>Mr. Paul J. Glazer ("Mr. Glazer"), who serves as the Managing Member of Glazer Capital, with respect to the</w:t>
            </w:r>
          </w:p>
        </w:tc>
      </w:tr>
      <w:tr>
        <w:trPr>
          <w:trHeight w:val="20"/>
        </w:trPr>
        <w:tc>
          <w:tcPr>
            <w:tcW w:w="1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254"/>
        </w:trPr>
        <w:tc>
          <w:tcPr>
            <w:tcW w:w="1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160" w:type="dxa"/>
            <w:vAlign w:val="bottom"/>
            <w:gridSpan w:val="8"/>
          </w:tcPr>
          <w:p>
            <w:pPr>
              <w:ind w:left="80"/>
              <w:spacing w:after="0"/>
              <w:rPr>
                <w:sz w:val="20"/>
                <w:szCs w:val="20"/>
                <w:color w:val="auto"/>
              </w:rPr>
            </w:pPr>
            <w:r>
              <w:rPr>
                <w:rFonts w:ascii="Arial" w:cs="Arial" w:eastAsia="Arial" w:hAnsi="Arial"/>
                <w:sz w:val="20"/>
                <w:szCs w:val="20"/>
                <w:color w:val="auto"/>
              </w:rPr>
              <w:t>shares of Common Stock held by the Glazer Funds.</w:t>
            </w:r>
          </w:p>
        </w:tc>
      </w:tr>
      <w:tr>
        <w:trPr>
          <w:trHeight w:val="414"/>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6680" w:type="dxa"/>
            <w:vAlign w:val="bottom"/>
            <w:gridSpan w:val="6"/>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r>
      <w:tr>
        <w:trPr>
          <w:trHeight w:val="463"/>
        </w:trPr>
        <w:tc>
          <w:tcPr>
            <w:tcW w:w="1260" w:type="dxa"/>
            <w:vAlign w:val="bottom"/>
          </w:tcPr>
          <w:p>
            <w:pPr>
              <w:spacing w:after="0"/>
              <w:rPr>
                <w:sz w:val="24"/>
                <w:szCs w:val="24"/>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w w:val="89"/>
              </w:rPr>
              <w:t>The filing of this statement should not be construed as an admission that any of the Reporting Persons is, for the purposes</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320"/>
              <w:spacing w:after="0"/>
              <w:rPr>
                <w:sz w:val="20"/>
                <w:szCs w:val="20"/>
                <w:color w:val="auto"/>
              </w:rPr>
            </w:pPr>
            <w:r>
              <w:rPr>
                <w:rFonts w:ascii="Arial" w:cs="Arial" w:eastAsia="Arial" w:hAnsi="Arial"/>
                <w:sz w:val="20"/>
                <w:szCs w:val="20"/>
                <w:color w:val="auto"/>
              </w:rPr>
              <w:t>of Section 13 of the Act, the beneficial owner of the shares of Common Stock reported herein.</w:t>
            </w:r>
          </w:p>
        </w:tc>
      </w:tr>
      <w:tr>
        <w:trPr>
          <w:trHeight w:val="459"/>
        </w:trPr>
        <w:tc>
          <w:tcPr>
            <w:tcW w:w="1260" w:type="dxa"/>
            <w:vAlign w:val="bottom"/>
          </w:tcPr>
          <w:p>
            <w:pPr>
              <w:ind w:left="100"/>
              <w:spacing w:after="0"/>
              <w:rPr>
                <w:sz w:val="20"/>
                <w:szCs w:val="20"/>
                <w:color w:val="auto"/>
              </w:rPr>
            </w:pPr>
            <w:r>
              <w:rPr>
                <w:rFonts w:ascii="Arial" w:cs="Arial" w:eastAsia="Arial" w:hAnsi="Arial"/>
                <w:sz w:val="20"/>
                <w:szCs w:val="20"/>
                <w:b w:val="1"/>
                <w:bCs w:val="1"/>
                <w:color w:val="auto"/>
              </w:rPr>
              <w:t>Item 2(b).</w:t>
            </w:r>
          </w:p>
        </w:tc>
        <w:tc>
          <w:tcPr>
            <w:tcW w:w="9980" w:type="dxa"/>
            <w:vAlign w:val="bottom"/>
            <w:gridSpan w:val="9"/>
          </w:tcPr>
          <w:p>
            <w:pPr>
              <w:ind w:left="540"/>
              <w:spacing w:after="0"/>
              <w:rPr>
                <w:sz w:val="20"/>
                <w:szCs w:val="20"/>
                <w:color w:val="auto"/>
              </w:rPr>
            </w:pPr>
            <w:r>
              <w:rPr>
                <w:rFonts w:ascii="Arial" w:cs="Arial" w:eastAsia="Arial" w:hAnsi="Arial"/>
                <w:sz w:val="20"/>
                <w:szCs w:val="20"/>
                <w:b w:val="1"/>
                <w:bCs w:val="1"/>
                <w:color w:val="auto"/>
              </w:rPr>
              <w:t>ADDRESS OF PRINCIPAL BUSINESS OFFICE OR, IF NONE, RESIDENCE:</w:t>
            </w:r>
          </w:p>
        </w:tc>
      </w:tr>
      <w:tr>
        <w:trPr>
          <w:trHeight w:val="492"/>
        </w:trPr>
        <w:tc>
          <w:tcPr>
            <w:tcW w:w="1260" w:type="dxa"/>
            <w:vAlign w:val="bottom"/>
          </w:tcPr>
          <w:p>
            <w:pPr>
              <w:spacing w:after="0"/>
              <w:rPr>
                <w:sz w:val="24"/>
                <w:szCs w:val="24"/>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w w:val="92"/>
              </w:rPr>
              <w:t>The address of the business office of each of the Reporting Persons is 250 West 55</w:t>
            </w:r>
            <w:r>
              <w:rPr>
                <w:rFonts w:ascii="Arial" w:cs="Arial" w:eastAsia="Arial" w:hAnsi="Arial"/>
                <w:sz w:val="32"/>
                <w:szCs w:val="32"/>
                <w:color w:val="auto"/>
                <w:w w:val="92"/>
                <w:vertAlign w:val="superscript"/>
              </w:rPr>
              <w:t>th</w:t>
            </w:r>
            <w:r>
              <w:rPr>
                <w:rFonts w:ascii="Arial" w:cs="Arial" w:eastAsia="Arial" w:hAnsi="Arial"/>
                <w:sz w:val="20"/>
                <w:szCs w:val="20"/>
                <w:color w:val="auto"/>
                <w:w w:val="92"/>
              </w:rPr>
              <w:t xml:space="preserve"> Street, Suite 30A, New York,</w:t>
            </w:r>
          </w:p>
        </w:tc>
      </w:tr>
      <w:tr>
        <w:trPr>
          <w:trHeight w:val="250"/>
        </w:trPr>
        <w:tc>
          <w:tcPr>
            <w:tcW w:w="1260" w:type="dxa"/>
            <w:vAlign w:val="bottom"/>
          </w:tcPr>
          <w:p>
            <w:pPr>
              <w:spacing w:after="0"/>
              <w:rPr>
                <w:sz w:val="21"/>
                <w:szCs w:val="21"/>
                <w:color w:val="auto"/>
              </w:rPr>
            </w:pPr>
          </w:p>
        </w:tc>
        <w:tc>
          <w:tcPr>
            <w:tcW w:w="9980" w:type="dxa"/>
            <w:vAlign w:val="bottom"/>
            <w:gridSpan w:val="9"/>
          </w:tcPr>
          <w:p>
            <w:pPr>
              <w:ind w:left="540"/>
              <w:spacing w:after="0"/>
              <w:rPr>
                <w:sz w:val="20"/>
                <w:szCs w:val="20"/>
                <w:color w:val="auto"/>
              </w:rPr>
            </w:pPr>
            <w:r>
              <w:rPr>
                <w:rFonts w:ascii="Arial" w:cs="Arial" w:eastAsia="Arial" w:hAnsi="Arial"/>
                <w:sz w:val="20"/>
                <w:szCs w:val="20"/>
                <w:color w:val="auto"/>
              </w:rPr>
              <w:t>New York 10019.</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2(c).</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Glazer Capital is a Delaware limited liability company. Mr. Glazer is a United Stated citizen.</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2(d).</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TITLE OF CLASS OF SECURITIES:</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Class A Ordinary Shares included as part of the units</w:t>
            </w:r>
          </w:p>
        </w:tc>
      </w:tr>
      <w:tr>
        <w:trPr>
          <w:trHeight w:val="459"/>
        </w:trPr>
        <w:tc>
          <w:tcPr>
            <w:tcW w:w="1260" w:type="dxa"/>
            <w:vAlign w:val="bottom"/>
          </w:tcPr>
          <w:p>
            <w:pPr>
              <w:spacing w:after="0"/>
              <w:rPr>
                <w:sz w:val="20"/>
                <w:szCs w:val="20"/>
                <w:color w:val="auto"/>
              </w:rPr>
            </w:pPr>
            <w:r>
              <w:rPr>
                <w:rFonts w:ascii="Arial" w:cs="Arial" w:eastAsia="Arial" w:hAnsi="Arial"/>
                <w:sz w:val="20"/>
                <w:szCs w:val="20"/>
                <w:b w:val="1"/>
                <w:bCs w:val="1"/>
                <w:color w:val="auto"/>
              </w:rPr>
              <w:t>Item 2(e).</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CUSIP NUMBER:</w:t>
            </w:r>
          </w:p>
        </w:tc>
      </w:tr>
      <w:tr>
        <w:trPr>
          <w:trHeight w:val="459"/>
        </w:trPr>
        <w:tc>
          <w:tcPr>
            <w:tcW w:w="1260" w:type="dxa"/>
            <w:vAlign w:val="bottom"/>
          </w:tcPr>
          <w:p>
            <w:pPr>
              <w:spacing w:after="0"/>
              <w:rPr>
                <w:sz w:val="24"/>
                <w:szCs w:val="24"/>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color w:val="auto"/>
              </w:rPr>
              <w:t>G8598Y109</w:t>
            </w:r>
          </w:p>
        </w:tc>
      </w:tr>
      <w:tr>
        <w:trPr>
          <w:trHeight w:val="432"/>
        </w:trPr>
        <w:tc>
          <w:tcPr>
            <w:tcW w:w="1260" w:type="dxa"/>
            <w:vAlign w:val="bottom"/>
          </w:tcPr>
          <w:p>
            <w:pPr>
              <w:spacing w:after="0"/>
              <w:rPr>
                <w:sz w:val="20"/>
                <w:szCs w:val="20"/>
                <w:color w:val="auto"/>
              </w:rPr>
            </w:pPr>
            <w:r>
              <w:rPr>
                <w:rFonts w:ascii="Arial" w:cs="Arial" w:eastAsia="Arial" w:hAnsi="Arial"/>
                <w:sz w:val="20"/>
                <w:szCs w:val="20"/>
                <w:b w:val="1"/>
                <w:bCs w:val="1"/>
                <w:color w:val="auto"/>
              </w:rPr>
              <w:t>Item 3.</w:t>
            </w: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w w:val="98"/>
              </w:rPr>
              <w:t>IF THIS STATEMENT IS FILED PURSUANT TO RULES 13d-1(b) OR 13d-2(b) OR (c), CHECK WHETHER</w:t>
            </w:r>
          </w:p>
        </w:tc>
      </w:tr>
      <w:tr>
        <w:trPr>
          <w:trHeight w:val="256"/>
        </w:trPr>
        <w:tc>
          <w:tcPr>
            <w:tcW w:w="1260" w:type="dxa"/>
            <w:vAlign w:val="bottom"/>
          </w:tcPr>
          <w:p>
            <w:pPr>
              <w:spacing w:after="0"/>
              <w:rPr>
                <w:sz w:val="22"/>
                <w:szCs w:val="22"/>
                <w:color w:val="auto"/>
              </w:rPr>
            </w:pPr>
          </w:p>
        </w:tc>
        <w:tc>
          <w:tcPr>
            <w:tcW w:w="9980" w:type="dxa"/>
            <w:vAlign w:val="bottom"/>
            <w:gridSpan w:val="9"/>
          </w:tcPr>
          <w:p>
            <w:pPr>
              <w:ind w:left="440"/>
              <w:spacing w:after="0"/>
              <w:rPr>
                <w:sz w:val="20"/>
                <w:szCs w:val="20"/>
                <w:color w:val="auto"/>
              </w:rPr>
            </w:pPr>
            <w:r>
              <w:rPr>
                <w:rFonts w:ascii="Arial" w:cs="Arial" w:eastAsia="Arial" w:hAnsi="Arial"/>
                <w:sz w:val="20"/>
                <w:szCs w:val="20"/>
                <w:b w:val="1"/>
                <w:bCs w:val="1"/>
                <w:color w:val="auto"/>
              </w:rPr>
              <w:t>THE PERSON FILING IS A:</w:t>
            </w:r>
          </w:p>
        </w:tc>
      </w:tr>
      <w:tr>
        <w:trPr>
          <w:trHeight w:val="495"/>
        </w:trPr>
        <w:tc>
          <w:tcPr>
            <w:tcW w:w="1260" w:type="dxa"/>
            <w:vAlign w:val="bottom"/>
          </w:tcPr>
          <w:p>
            <w:pPr>
              <w:spacing w:after="0"/>
              <w:rPr>
                <w:sz w:val="24"/>
                <w:szCs w:val="24"/>
                <w:color w:val="auto"/>
              </w:rPr>
            </w:pPr>
          </w:p>
        </w:tc>
        <w:tc>
          <w:tcPr>
            <w:tcW w:w="820" w:type="dxa"/>
            <w:vAlign w:val="bottom"/>
          </w:tcPr>
          <w:p>
            <w:pPr>
              <w:ind w:left="540"/>
              <w:spacing w:after="0"/>
              <w:rPr>
                <w:sz w:val="20"/>
                <w:szCs w:val="20"/>
                <w:color w:val="auto"/>
              </w:rPr>
            </w:pPr>
            <w:r>
              <w:rPr>
                <w:rFonts w:ascii="Arial" w:cs="Arial" w:eastAsia="Arial" w:hAnsi="Arial"/>
                <w:sz w:val="20"/>
                <w:szCs w:val="20"/>
                <w:color w:val="auto"/>
              </w:rPr>
              <w:t>(a)</w:t>
            </w:r>
          </w:p>
        </w:tc>
        <w:tc>
          <w:tcPr>
            <w:tcW w:w="9160" w:type="dxa"/>
            <w:vAlign w:val="bottom"/>
            <w:gridSpan w:val="8"/>
          </w:tcPr>
          <w:p>
            <w:pPr>
              <w:ind w:left="540"/>
              <w:spacing w:after="0" w:line="230" w:lineRule="exact"/>
              <w:rPr>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Broker or dealer registered under Section 15 of the Act (15 U.S.C. 78o);</w:t>
            </w:r>
          </w:p>
        </w:tc>
      </w:tr>
    </w:tbl>
    <w:p>
      <w:pPr>
        <w:sectPr>
          <w:pgSz w:w="11900" w:h="16838" w:orient="portrait"/>
          <w:cols w:equalWidth="0" w:num="1">
            <w:col w:w="11240"/>
          </w:cols>
          <w:pgMar w:left="320" w:top="927" w:right="339" w:bottom="1440" w:gutter="0" w:footer="0" w:header="0"/>
        </w:sectPr>
      </w:pPr>
    </w:p>
    <w:bookmarkStart w:id="4" w:name="page5"/>
    <w:bookmarkEnd w:id="4"/>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Bank as defined in Section 3(a)(6) of the Act (15 U.S.C. 78c);</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Insurance company as defined in Section 3(a)(19) of the Act (15 U.S.C. 78c);</w:t>
      </w:r>
    </w:p>
    <w:p>
      <w:pPr>
        <w:spacing w:after="0" w:line="229" w:lineRule="exact"/>
        <w:rPr>
          <w:rFonts w:ascii="Arial" w:cs="Arial" w:eastAsia="Arial" w:hAnsi="Arial"/>
          <w:sz w:val="20"/>
          <w:szCs w:val="20"/>
          <w:color w:val="auto"/>
        </w:rPr>
      </w:pPr>
    </w:p>
    <w:p>
      <w:pPr>
        <w:ind w:left="3040" w:right="180" w:hanging="1347"/>
        <w:spacing w:after="0" w:line="250" w:lineRule="exact"/>
        <w:tabs>
          <w:tab w:leader="none" w:pos="2518"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company registered under Section 8 of the Investment Company Act of 1940 (15 U.S.C. 80a-8);</w:t>
      </w: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Investment adviser in accordance with Rule 13d-1(b)(1)(ii)(E);</w:t>
      </w:r>
    </w:p>
    <w:p>
      <w:pPr>
        <w:spacing w:after="0" w:line="18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2"/>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Employee benefit plan or endowment fund in accordance with</w:t>
      </w:r>
    </w:p>
    <w:p>
      <w:pPr>
        <w:spacing w:after="0" w:line="39" w:lineRule="exact"/>
        <w:rPr>
          <w:sz w:val="20"/>
          <w:szCs w:val="20"/>
          <w:color w:val="auto"/>
        </w:rPr>
      </w:pPr>
    </w:p>
    <w:p>
      <w:pPr>
        <w:ind w:left="3040"/>
        <w:spacing w:after="0"/>
        <w:rPr>
          <w:sz w:val="20"/>
          <w:szCs w:val="20"/>
          <w:color w:val="auto"/>
        </w:rPr>
      </w:pPr>
      <w:r>
        <w:rPr>
          <w:rFonts w:ascii="Arial" w:cs="Arial" w:eastAsia="Arial" w:hAnsi="Arial"/>
          <w:sz w:val="20"/>
          <w:szCs w:val="20"/>
          <w:color w:val="auto"/>
        </w:rPr>
        <w:t>Rule 13d-1(b)(1)(ii)(F);</w:t>
      </w:r>
    </w:p>
    <w:p>
      <w:pPr>
        <w:spacing w:after="0" w:line="189" w:lineRule="exact"/>
        <w:rPr>
          <w:sz w:val="20"/>
          <w:szCs w:val="20"/>
          <w:color w:val="auto"/>
        </w:rPr>
      </w:pPr>
    </w:p>
    <w:p>
      <w:pPr>
        <w:ind w:left="3040" w:right="3220" w:hanging="1347"/>
        <w:spacing w:after="0" w:line="250"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Parent holding company or control person in accordance with Rule 13d-1(b)(1)(ii)(G);</w:t>
      </w:r>
    </w:p>
    <w:p>
      <w:pPr>
        <w:ind w:left="3040" w:right="600" w:hanging="1347"/>
        <w:spacing w:after="0" w:line="23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Savings association as defined in Section 3(b) of the Federal Deposit Insurance Act (12 U.S.C. 1813);</w:t>
      </w:r>
    </w:p>
    <w:p>
      <w:pPr>
        <w:spacing w:after="0" w:line="184" w:lineRule="exact"/>
        <w:rPr>
          <w:rFonts w:ascii="Arial" w:cs="Arial" w:eastAsia="Arial" w:hAnsi="Arial"/>
          <w:sz w:val="20"/>
          <w:szCs w:val="20"/>
          <w:color w:val="auto"/>
        </w:rPr>
      </w:pPr>
    </w:p>
    <w:p>
      <w:pPr>
        <w:ind w:left="3040" w:right="300" w:hanging="1347"/>
        <w:spacing w:after="0" w:line="252" w:lineRule="exact"/>
        <w:tabs>
          <w:tab w:leader="none" w:pos="2518"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Church plan that is excluded from the definition of an investment company under Section 3(c)(14) of the Investment Company Act (15 U.S.C. 80a-3);</w:t>
      </w:r>
    </w:p>
    <w:p>
      <w:pPr>
        <w:spacing w:after="0" w:line="186"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Non-U.S. institution in accordance with Rule 13d-1(b)(1)(ii)(J);</w:t>
      </w:r>
    </w:p>
    <w:p>
      <w:pPr>
        <w:spacing w:after="0" w:line="229" w:lineRule="exact"/>
        <w:rPr>
          <w:rFonts w:ascii="Arial" w:cs="Arial" w:eastAsia="Arial" w:hAnsi="Arial"/>
          <w:sz w:val="20"/>
          <w:szCs w:val="20"/>
          <w:color w:val="auto"/>
        </w:rPr>
      </w:pPr>
    </w:p>
    <w:p>
      <w:pPr>
        <w:ind w:left="2520" w:hanging="827"/>
        <w:spacing w:after="0" w:line="230" w:lineRule="exact"/>
        <w:tabs>
          <w:tab w:leader="none" w:pos="2520" w:val="left"/>
        </w:tabs>
        <w:numPr>
          <w:ilvl w:val="0"/>
          <w:numId w:val="3"/>
        </w:numPr>
        <w:rPr>
          <w:rFonts w:ascii="Arial" w:cs="Arial" w:eastAsia="Arial" w:hAnsi="Arial"/>
          <w:sz w:val="20"/>
          <w:szCs w:val="20"/>
          <w:color w:val="auto"/>
        </w:rPr>
      </w:pPr>
      <w:r>
        <w:rPr>
          <w:rFonts w:ascii="MS PGothic" w:cs="MS PGothic" w:eastAsia="MS PGothic" w:hAnsi="MS PGothic"/>
          <w:sz w:val="20"/>
          <w:szCs w:val="20"/>
          <w:color w:val="auto"/>
        </w:rPr>
        <w:t>☐</w:t>
      </w:r>
      <w:r>
        <w:rPr>
          <w:rFonts w:ascii="Arial" w:cs="Arial" w:eastAsia="Arial" w:hAnsi="Arial"/>
          <w:sz w:val="20"/>
          <w:szCs w:val="20"/>
          <w:color w:val="auto"/>
        </w:rPr>
        <w:t xml:space="preserve">  Group, in accordance with Rule 13d-1(b)(1)(ii)(K).</w:t>
      </w:r>
    </w:p>
    <w:p>
      <w:pPr>
        <w:spacing w:after="0" w:line="200" w:lineRule="exact"/>
        <w:rPr>
          <w:sz w:val="20"/>
          <w:szCs w:val="20"/>
          <w:color w:val="auto"/>
        </w:rPr>
      </w:pPr>
    </w:p>
    <w:p>
      <w:pPr>
        <w:spacing w:after="0" w:line="282" w:lineRule="exact"/>
        <w:rPr>
          <w:sz w:val="20"/>
          <w:szCs w:val="20"/>
          <w:color w:val="auto"/>
        </w:rPr>
      </w:pPr>
    </w:p>
    <w:p>
      <w:pPr>
        <w:ind w:left="1700" w:right="2880"/>
        <w:spacing w:after="0" w:line="260" w:lineRule="auto"/>
        <w:rPr>
          <w:sz w:val="20"/>
          <w:szCs w:val="20"/>
          <w:color w:val="auto"/>
        </w:rPr>
      </w:pPr>
      <w:r>
        <w:rPr>
          <w:rFonts w:ascii="Arial" w:cs="Arial" w:eastAsia="Arial" w:hAnsi="Arial"/>
          <w:sz w:val="20"/>
          <w:szCs w:val="20"/>
          <w:color w:val="auto"/>
        </w:rPr>
        <w:t>If filing as a non-U.S. institution in accordance with Rule 13d-1(b)(1)(ii)(J), please specify the type of institution:</w:t>
      </w:r>
    </w:p>
    <w:p>
      <w:pPr>
        <w:spacing w:after="0" w:line="184"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9"/>
          <w:szCs w:val="19"/>
          <w:b w:val="1"/>
          <w:bCs w:val="1"/>
          <w:color w:val="auto"/>
        </w:rPr>
        <w:t>OWNERSHIP</w:t>
      </w:r>
    </w:p>
    <w:p>
      <w:pPr>
        <w:spacing w:after="0" w:line="235" w:lineRule="exact"/>
        <w:rPr>
          <w:sz w:val="20"/>
          <w:szCs w:val="20"/>
          <w:color w:val="auto"/>
        </w:rPr>
      </w:pPr>
    </w:p>
    <w:p>
      <w:pPr>
        <w:ind w:left="1600" w:right="100"/>
        <w:spacing w:after="0" w:line="260" w:lineRule="auto"/>
        <w:rPr>
          <w:sz w:val="20"/>
          <w:szCs w:val="20"/>
          <w:color w:val="auto"/>
        </w:rPr>
      </w:pPr>
      <w:r>
        <w:rPr>
          <w:rFonts w:ascii="Arial" w:cs="Arial" w:eastAsia="Arial" w:hAnsi="Arial"/>
          <w:sz w:val="20"/>
          <w:szCs w:val="20"/>
          <w:color w:val="auto"/>
        </w:rPr>
        <w:t>The information required by Items 4(a) – (c) is set forth in Rows (5) – (11) of the cover page for each Reporting Person hereto and is incorporated herein by reference for each such Reporting Person.</w:t>
      </w:r>
    </w:p>
    <w:p>
      <w:pPr>
        <w:spacing w:after="0" w:line="190" w:lineRule="exact"/>
        <w:rPr>
          <w:sz w:val="20"/>
          <w:szCs w:val="20"/>
          <w:color w:val="auto"/>
        </w:rPr>
      </w:pPr>
    </w:p>
    <w:p>
      <w:pPr>
        <w:ind w:left="1600" w:right="140"/>
        <w:spacing w:after="0" w:line="316" w:lineRule="auto"/>
        <w:rPr>
          <w:sz w:val="20"/>
          <w:szCs w:val="20"/>
          <w:color w:val="auto"/>
        </w:rPr>
      </w:pPr>
      <w:r>
        <w:rPr>
          <w:rFonts w:ascii="Arial" w:cs="Arial" w:eastAsia="Arial" w:hAnsi="Arial"/>
          <w:sz w:val="18"/>
          <w:szCs w:val="18"/>
          <w:color w:val="auto"/>
        </w:rPr>
        <w:t>The percentages set forth in Row (11) of the cover page for each Reporting Person and elsewhere in this Schedule 13G are based on the 30,000,000 shares of Class A Ordinary Shares included as part of the units outstanding.</w:t>
      </w:r>
    </w:p>
    <w:p>
      <w:pPr>
        <w:spacing w:after="0" w:line="137"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9"/>
          <w:szCs w:val="19"/>
          <w:b w:val="1"/>
          <w:bCs w:val="1"/>
          <w:color w:val="auto"/>
        </w:rPr>
        <w:t>OWNERSHIP OF FIVE PERCENT OR LESS OF A CLASS.</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9"/>
          <w:szCs w:val="19"/>
          <w:b w:val="1"/>
          <w:bCs w:val="1"/>
          <w:color w:val="auto"/>
        </w:rPr>
        <w:t>OWNERSHIP OF MORE THAN FIVE PERCENT ON BEHALF OF ANOTHER PERSON.</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See Item 2.</w:t>
      </w:r>
    </w:p>
    <w:p>
      <w:pPr>
        <w:spacing w:after="0" w:line="223" w:lineRule="exact"/>
        <w:rPr>
          <w:sz w:val="20"/>
          <w:szCs w:val="20"/>
          <w:color w:val="auto"/>
        </w:rPr>
      </w:pPr>
    </w:p>
    <w:p>
      <w:pPr>
        <w:ind w:left="1600" w:hanging="1589"/>
        <w:spacing w:after="0" w:line="267" w:lineRule="auto"/>
        <w:tabs>
          <w:tab w:leader="none" w:pos="15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83"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20"/>
          <w:szCs w:val="20"/>
          <w:b w:val="1"/>
          <w:bCs w:val="1"/>
          <w:color w:val="auto"/>
        </w:rPr>
        <w:t>IDENTIFICATION AND CLASSIFICATION OF MEMBERS OF THE GROUP.</w:t>
      </w:r>
    </w:p>
    <w:p>
      <w:pPr>
        <w:sectPr>
          <w:pgSz w:w="11900" w:h="16838" w:orient="portrait"/>
          <w:cols w:equalWidth="0" w:num="1">
            <w:col w:w="11140"/>
          </w:cols>
          <w:pgMar w:left="420" w:top="679" w:right="339" w:bottom="1440" w:gutter="0" w:footer="0" w:header="0"/>
        </w:sectPr>
      </w:pPr>
    </w:p>
    <w:bookmarkStart w:id="5" w:name="page6"/>
    <w:bookmarkEnd w:id="5"/>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9"/>
          <w:szCs w:val="19"/>
          <w:b w:val="1"/>
          <w:bCs w:val="1"/>
          <w:color w:val="auto"/>
        </w:rPr>
        <w:t>NOTICE OF DISSOLUTION OF GROUP.</w:t>
      </w:r>
    </w:p>
    <w:p>
      <w:pPr>
        <w:spacing w:after="0" w:line="235" w:lineRule="exact"/>
        <w:rPr>
          <w:sz w:val="20"/>
          <w:szCs w:val="20"/>
          <w:color w:val="auto"/>
        </w:rPr>
      </w:pPr>
    </w:p>
    <w:p>
      <w:pPr>
        <w:ind w:left="1600"/>
        <w:spacing w:after="0"/>
        <w:rPr>
          <w:sz w:val="20"/>
          <w:szCs w:val="20"/>
          <w:color w:val="auto"/>
        </w:rPr>
      </w:pPr>
      <w:r>
        <w:rPr>
          <w:rFonts w:ascii="Arial" w:cs="Arial" w:eastAsia="Arial" w:hAnsi="Arial"/>
          <w:sz w:val="20"/>
          <w:szCs w:val="20"/>
          <w:color w:val="auto"/>
        </w:rPr>
        <w:t>Not applicable.</w:t>
      </w:r>
    </w:p>
    <w:p>
      <w:pPr>
        <w:spacing w:after="0" w:line="223" w:lineRule="exact"/>
        <w:rPr>
          <w:sz w:val="20"/>
          <w:szCs w:val="20"/>
          <w:color w:val="auto"/>
        </w:rPr>
      </w:pPr>
    </w:p>
    <w:p>
      <w:pPr>
        <w:spacing w:after="0"/>
        <w:tabs>
          <w:tab w:leader="none" w:pos="15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20"/>
          <w:szCs w:val="20"/>
          <w:b w:val="1"/>
          <w:bCs w:val="1"/>
          <w:color w:val="auto"/>
        </w:rPr>
        <w:t>CERTIFICATION.</w:t>
      </w:r>
    </w:p>
    <w:p>
      <w:pPr>
        <w:spacing w:after="0" w:line="235" w:lineRule="exact"/>
        <w:rPr>
          <w:sz w:val="20"/>
          <w:szCs w:val="20"/>
          <w:color w:val="auto"/>
        </w:rPr>
      </w:pPr>
    </w:p>
    <w:p>
      <w:pPr>
        <w:ind w:left="1700"/>
        <w:spacing w:after="0"/>
        <w:rPr>
          <w:sz w:val="20"/>
          <w:szCs w:val="20"/>
          <w:color w:val="auto"/>
        </w:rPr>
      </w:pPr>
      <w:r>
        <w:rPr>
          <w:rFonts w:ascii="Arial" w:cs="Arial" w:eastAsia="Arial" w:hAnsi="Arial"/>
          <w:sz w:val="20"/>
          <w:szCs w:val="20"/>
          <w:color w:val="auto"/>
        </w:rPr>
        <w:t>Each of the Reporting Persons hereby makes the following certification:</w:t>
      </w:r>
    </w:p>
    <w:p>
      <w:pPr>
        <w:spacing w:after="0" w:line="229" w:lineRule="exact"/>
        <w:rPr>
          <w:sz w:val="20"/>
          <w:szCs w:val="20"/>
          <w:color w:val="auto"/>
        </w:rPr>
      </w:pPr>
    </w:p>
    <w:p>
      <w:pPr>
        <w:ind w:left="1700"/>
        <w:spacing w:after="0" w:line="282" w:lineRule="auto"/>
        <w:rPr>
          <w:sz w:val="20"/>
          <w:szCs w:val="20"/>
          <w:color w:val="auto"/>
        </w:rPr>
      </w:pPr>
      <w:r>
        <w:rPr>
          <w:rFonts w:ascii="Arial" w:cs="Arial" w:eastAsia="Arial" w:hAnsi="Arial"/>
          <w:sz w:val="18"/>
          <w:szCs w:val="18"/>
          <w:color w:val="auto"/>
        </w:rPr>
        <w:t>By signing below each Reporting Person certifies that, to the best of its or his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040"/>
          </w:cols>
          <w:pgMar w:left="420" w:top="933" w:right="4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After reasonable inquiry and to the best of its or his knowledge and belief, each of the undersigned certifies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23410" cy="8890"/>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p>
      <w:pPr>
        <w:sectPr>
          <w:pgSz w:w="11900" w:h="16838" w:orient="portrait"/>
          <w:cols w:equalWidth="0" w:num="1">
            <w:col w:w="11240"/>
          </w:cols>
          <w:pgMar w:left="320" w:top="1143"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20"/>
          <w:szCs w:val="20"/>
          <w:b w:val="1"/>
          <w:bCs w:val="1"/>
          <w:color w:val="auto"/>
        </w:rPr>
        <w:t>EXHIBIT I</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JOINT FILING AGREEMENT</w:t>
      </w:r>
    </w:p>
    <w:p>
      <w:pPr>
        <w:spacing w:after="0" w:line="22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him or it contained herein and therein, but shall not be responsible for the completeness and accuracy of the information concerning the others, except to the extent that he or it knows or has reason to believe that such information is inaccurate.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color w:val="auto"/>
        </w:rPr>
        <w:t>DATED as of February 16, 2021</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GLAZER CAPITAL, LLC</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By: /s/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color w:val="auto"/>
        </w:rPr>
        <w:t>Name: Paul J. Glazer</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Title: Managing Member</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/s/ Paul J. Glazer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44234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423410" cy="825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PAUL J. GLAZER</w:t>
      </w:r>
    </w:p>
    <w:sectPr>
      <w:pgSz w:w="11900" w:h="16838" w:orient="portrait"/>
      <w:cols w:equalWidth="0" w:num="1">
        <w:col w:w="11240"/>
      </w:cols>
      <w:pgMar w:left="320" w:top="13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2021-02-16T10:00:02Z</dcterms:created>
  <dcterms:modified xsi:type="dcterms:W3CDTF">2021-02-16T10:00:02Z</dcterms:modified>
</cp:coreProperties>
</file>