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SECURITIES AND EXCHANGE COMMISSION</w:t>
      </w:r>
    </w:p>
    <w:p>
      <w:pPr>
        <w:jc w:val="center"/>
        <w:ind w:right="-9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Under the Securities Exchange Act of 1934</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TMC the metals Co Inc. formerly known as Sustainable Opportunities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G8598Y109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020" w:hanging="80"/>
        <w:spacing w:after="0" w:line="299" w:lineRule="auto"/>
        <w:tabs>
          <w:tab w:leader="none" w:pos="10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o Rule 13d-1(c) o Rule 13d-1(d)</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1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40"/>
          </w:cols>
          <w:pgMar w:left="320" w:top="460" w:right="4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Glazer Capital, LLC</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48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584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2"/>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State of Delaware</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58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584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584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584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0</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0.0%</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IA, OO</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89"/>
              </w:rPr>
              <w:t>Paul J. Glazer</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3"/>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56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57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3"/>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93"/>
              </w:rPr>
              <w:t>United States</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76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76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0</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gridSpan w:val="2"/>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0.0%</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980" w:type="dxa"/>
            <w:vAlign w:val="bottom"/>
            <w:gridSpan w:val="11"/>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438"/>
        </w:trPr>
        <w:tc>
          <w:tcPr>
            <w:tcW w:w="1260" w:type="dxa"/>
            <w:vAlign w:val="bottom"/>
          </w:tcPr>
          <w:p>
            <w:pPr>
              <w:spacing w:after="0"/>
              <w:rPr>
                <w:sz w:val="24"/>
                <w:szCs w:val="24"/>
                <w:color w:val="auto"/>
              </w:rPr>
            </w:pPr>
          </w:p>
        </w:tc>
        <w:tc>
          <w:tcPr>
            <w:tcW w:w="9980" w:type="dxa"/>
            <w:vAlign w:val="bottom"/>
            <w:gridSpan w:val="11"/>
          </w:tcPr>
          <w:p>
            <w:pPr>
              <w:ind w:left="440"/>
              <w:spacing w:after="0"/>
              <w:rPr>
                <w:sz w:val="20"/>
                <w:szCs w:val="20"/>
                <w:color w:val="auto"/>
              </w:rPr>
            </w:pPr>
            <w:r>
              <w:rPr>
                <w:rFonts w:ascii="Arial" w:cs="Arial" w:eastAsia="Arial" w:hAnsi="Arial"/>
                <w:sz w:val="20"/>
                <w:szCs w:val="20"/>
                <w:color w:val="auto"/>
                <w:w w:val="92"/>
              </w:rPr>
              <w:t>The name of the issuer is TMC the metals Co Inc. formerly known as Sustainable Opportunities Acquisition Corp (the</w:t>
            </w:r>
          </w:p>
        </w:tc>
      </w:tr>
      <w:tr>
        <w:trPr>
          <w:trHeight w:val="206"/>
        </w:trPr>
        <w:tc>
          <w:tcPr>
            <w:tcW w:w="1260" w:type="dxa"/>
            <w:vAlign w:val="bottom"/>
          </w:tcPr>
          <w:p>
            <w:pPr>
              <w:spacing w:after="0"/>
              <w:rPr>
                <w:sz w:val="17"/>
                <w:szCs w:val="17"/>
                <w:color w:val="auto"/>
              </w:rPr>
            </w:pPr>
          </w:p>
        </w:tc>
        <w:tc>
          <w:tcPr>
            <w:tcW w:w="9980" w:type="dxa"/>
            <w:vAlign w:val="bottom"/>
            <w:gridSpan w:val="11"/>
          </w:tcPr>
          <w:p>
            <w:pPr>
              <w:ind w:left="440"/>
              <w:spacing w:after="0" w:line="206" w:lineRule="exact"/>
              <w:rPr>
                <w:sz w:val="20"/>
                <w:szCs w:val="20"/>
                <w:color w:val="auto"/>
              </w:rPr>
            </w:pPr>
            <w:r>
              <w:rPr>
                <w:rFonts w:ascii="Arial" w:cs="Arial" w:eastAsia="Arial" w:hAnsi="Arial"/>
                <w:sz w:val="20"/>
                <w:szCs w:val="20"/>
                <w:color w:val="auto"/>
              </w:rPr>
              <w:t>"Company").</w:t>
            </w:r>
          </w:p>
        </w:tc>
      </w:tr>
      <w:tr>
        <w:trPr>
          <w:trHeight w:val="20"/>
        </w:trPr>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84"/>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980" w:type="dxa"/>
            <w:vAlign w:val="bottom"/>
            <w:gridSpan w:val="11"/>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980" w:type="dxa"/>
            <w:vAlign w:val="bottom"/>
            <w:gridSpan w:val="11"/>
          </w:tcPr>
          <w:p>
            <w:pPr>
              <w:ind w:left="440"/>
              <w:spacing w:after="0"/>
              <w:rPr>
                <w:sz w:val="20"/>
                <w:szCs w:val="20"/>
                <w:color w:val="auto"/>
              </w:rPr>
            </w:pPr>
            <w:r>
              <w:rPr>
                <w:rFonts w:ascii="Arial" w:cs="Arial" w:eastAsia="Arial" w:hAnsi="Arial"/>
                <w:sz w:val="20"/>
                <w:szCs w:val="20"/>
                <w:color w:val="auto"/>
                <w:w w:val="93"/>
              </w:rPr>
              <w:t>The Company's principal executive offices are located at 595 Howe Street, 10th Floor, Vancouver, British Columbia</w:t>
            </w:r>
          </w:p>
        </w:tc>
      </w:tr>
      <w:tr>
        <w:trPr>
          <w:trHeight w:val="459"/>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2(a).</w:t>
            </w:r>
          </w:p>
        </w:tc>
        <w:tc>
          <w:tcPr>
            <w:tcW w:w="9980" w:type="dxa"/>
            <w:vAlign w:val="bottom"/>
            <w:gridSpan w:val="11"/>
          </w:tcPr>
          <w:p>
            <w:pPr>
              <w:ind w:left="32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980" w:type="dxa"/>
            <w:vAlign w:val="bottom"/>
            <w:gridSpan w:val="11"/>
          </w:tcPr>
          <w:p>
            <w:pPr>
              <w:ind w:left="3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820" w:type="dxa"/>
            <w:vAlign w:val="bottom"/>
            <w:gridSpan w:val="2"/>
          </w:tcPr>
          <w:p>
            <w:pPr>
              <w:ind w:left="320"/>
              <w:spacing w:after="0"/>
              <w:rPr>
                <w:sz w:val="20"/>
                <w:szCs w:val="20"/>
                <w:color w:val="auto"/>
              </w:rPr>
            </w:pPr>
            <w:r>
              <w:rPr>
                <w:rFonts w:ascii="Arial" w:cs="Arial" w:eastAsia="Arial" w:hAnsi="Arial"/>
                <w:sz w:val="20"/>
                <w:szCs w:val="20"/>
                <w:color w:val="auto"/>
              </w:rPr>
              <w:t>(i)</w:t>
            </w:r>
          </w:p>
        </w:tc>
        <w:tc>
          <w:tcPr>
            <w:tcW w:w="9160" w:type="dxa"/>
            <w:vAlign w:val="bottom"/>
            <w:gridSpan w:val="9"/>
          </w:tcPr>
          <w:p>
            <w:pPr>
              <w:ind w:left="80"/>
              <w:spacing w:after="0"/>
              <w:rPr>
                <w:sz w:val="20"/>
                <w:szCs w:val="20"/>
                <w:color w:val="auto"/>
              </w:rPr>
            </w:pPr>
            <w:r>
              <w:rPr>
                <w:rFonts w:ascii="Arial" w:cs="Arial" w:eastAsia="Arial" w:hAnsi="Arial"/>
                <w:sz w:val="20"/>
                <w:szCs w:val="20"/>
                <w:color w:val="auto"/>
                <w:w w:val="98"/>
              </w:rPr>
              <w:t>Glazer Capital, LLC, a Delaware limited liability company ("Glazer Capital"), with respect to the shares of</w:t>
            </w:r>
          </w:p>
        </w:tc>
      </w:tr>
      <w:tr>
        <w:trPr>
          <w:trHeight w:val="20"/>
        </w:trPr>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160" w:type="dxa"/>
            <w:vAlign w:val="bottom"/>
            <w:gridSpan w:val="9"/>
          </w:tcPr>
          <w:p>
            <w:pPr>
              <w:ind w:left="80"/>
              <w:spacing w:after="0"/>
              <w:rPr>
                <w:sz w:val="20"/>
                <w:szCs w:val="20"/>
                <w:color w:val="auto"/>
              </w:rPr>
            </w:pPr>
            <w:r>
              <w:rPr>
                <w:rFonts w:ascii="Arial" w:cs="Arial" w:eastAsia="Arial" w:hAnsi="Arial"/>
                <w:sz w:val="20"/>
                <w:szCs w:val="20"/>
                <w:color w:val="auto"/>
                <w:w w:val="93"/>
              </w:rPr>
              <w:t>Common Stock (as defined in Item 2(d)) held by certain funds and managed accounts to which Glazer Capital</w:t>
            </w:r>
          </w:p>
        </w:tc>
      </w:tr>
      <w:tr>
        <w:trPr>
          <w:trHeight w:val="206"/>
        </w:trPr>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160" w:type="dxa"/>
            <w:vAlign w:val="bottom"/>
            <w:gridSpan w:val="9"/>
          </w:tcPr>
          <w:p>
            <w:pPr>
              <w:ind w:left="80"/>
              <w:spacing w:after="0" w:line="206" w:lineRule="exact"/>
              <w:rPr>
                <w:sz w:val="20"/>
                <w:szCs w:val="20"/>
                <w:color w:val="auto"/>
              </w:rPr>
            </w:pPr>
            <w:r>
              <w:rPr>
                <w:rFonts w:ascii="Arial" w:cs="Arial" w:eastAsia="Arial" w:hAnsi="Arial"/>
                <w:sz w:val="20"/>
                <w:szCs w:val="20"/>
                <w:color w:val="auto"/>
              </w:rPr>
              <w:t>serves as investment manager (collectively, the "Glazer Funds"); and</w:t>
            </w:r>
          </w:p>
        </w:tc>
      </w:tr>
      <w:tr>
        <w:trPr>
          <w:trHeight w:val="20"/>
        </w:trPr>
        <w:tc>
          <w:tcPr>
            <w:tcW w:w="1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9"/>
        </w:trPr>
        <w:tc>
          <w:tcPr>
            <w:tcW w:w="1260" w:type="dxa"/>
            <w:vAlign w:val="bottom"/>
          </w:tcPr>
          <w:p>
            <w:pPr>
              <w:spacing w:after="0"/>
              <w:rPr>
                <w:sz w:val="24"/>
                <w:szCs w:val="24"/>
                <w:color w:val="auto"/>
              </w:rPr>
            </w:pPr>
          </w:p>
        </w:tc>
        <w:tc>
          <w:tcPr>
            <w:tcW w:w="820" w:type="dxa"/>
            <w:vAlign w:val="bottom"/>
            <w:gridSpan w:val="2"/>
          </w:tcPr>
          <w:p>
            <w:pPr>
              <w:ind w:left="320"/>
              <w:spacing w:after="0"/>
              <w:rPr>
                <w:sz w:val="20"/>
                <w:szCs w:val="20"/>
                <w:color w:val="auto"/>
              </w:rPr>
            </w:pPr>
            <w:r>
              <w:rPr>
                <w:rFonts w:ascii="Arial" w:cs="Arial" w:eastAsia="Arial" w:hAnsi="Arial"/>
                <w:sz w:val="20"/>
                <w:szCs w:val="20"/>
                <w:color w:val="auto"/>
              </w:rPr>
              <w:t>(ii)</w:t>
            </w:r>
          </w:p>
        </w:tc>
        <w:tc>
          <w:tcPr>
            <w:tcW w:w="9160" w:type="dxa"/>
            <w:vAlign w:val="bottom"/>
            <w:gridSpan w:val="9"/>
          </w:tcPr>
          <w:p>
            <w:pPr>
              <w:ind w:left="80"/>
              <w:spacing w:after="0"/>
              <w:rPr>
                <w:sz w:val="20"/>
                <w:szCs w:val="20"/>
                <w:color w:val="auto"/>
              </w:rPr>
            </w:pPr>
            <w:r>
              <w:rPr>
                <w:rFonts w:ascii="Arial" w:cs="Arial" w:eastAsia="Arial" w:hAnsi="Arial"/>
                <w:sz w:val="20"/>
                <w:szCs w:val="20"/>
                <w:color w:val="auto"/>
                <w:w w:val="94"/>
              </w:rPr>
              <w:t>Mr. Paul J. Glazer ("Mr. Glazer"), who serves as the Managing Member of Glazer Capital, with respect to the</w:t>
            </w:r>
          </w:p>
        </w:tc>
      </w:tr>
      <w:tr>
        <w:trPr>
          <w:trHeight w:val="20"/>
        </w:trPr>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160" w:type="dxa"/>
            <w:vAlign w:val="bottom"/>
            <w:gridSpan w:val="9"/>
          </w:tcPr>
          <w:p>
            <w:pPr>
              <w:ind w:left="80"/>
              <w:spacing w:after="0"/>
              <w:rPr>
                <w:sz w:val="20"/>
                <w:szCs w:val="20"/>
                <w:color w:val="auto"/>
              </w:rPr>
            </w:pPr>
            <w:r>
              <w:rPr>
                <w:rFonts w:ascii="Arial" w:cs="Arial" w:eastAsia="Arial" w:hAnsi="Arial"/>
                <w:sz w:val="20"/>
                <w:szCs w:val="20"/>
                <w:color w:val="auto"/>
              </w:rPr>
              <w:t>shares of Common Stock held by the Glazer Funds.</w:t>
            </w:r>
          </w:p>
        </w:tc>
      </w:tr>
      <w:tr>
        <w:trPr>
          <w:trHeight w:val="414"/>
        </w:trPr>
        <w:tc>
          <w:tcPr>
            <w:tcW w:w="1260" w:type="dxa"/>
            <w:vAlign w:val="bottom"/>
          </w:tcPr>
          <w:p>
            <w:pPr>
              <w:spacing w:after="0"/>
              <w:rPr>
                <w:sz w:val="24"/>
                <w:szCs w:val="24"/>
                <w:color w:val="auto"/>
              </w:rPr>
            </w:pPr>
          </w:p>
        </w:tc>
        <w:tc>
          <w:tcPr>
            <w:tcW w:w="9980" w:type="dxa"/>
            <w:vAlign w:val="bottom"/>
            <w:gridSpan w:val="11"/>
          </w:tcPr>
          <w:p>
            <w:pPr>
              <w:ind w:left="32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6680" w:type="dxa"/>
            <w:vAlign w:val="bottom"/>
            <w:gridSpan w:val="8"/>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980" w:type="dxa"/>
            <w:vAlign w:val="bottom"/>
            <w:gridSpan w:val="11"/>
          </w:tcPr>
          <w:p>
            <w:pPr>
              <w:ind w:left="320"/>
              <w:spacing w:after="0"/>
              <w:rPr>
                <w:sz w:val="20"/>
                <w:szCs w:val="20"/>
                <w:color w:val="auto"/>
              </w:rPr>
            </w:pPr>
            <w:r>
              <w:rPr>
                <w:rFonts w:ascii="Arial" w:cs="Arial" w:eastAsia="Arial" w:hAnsi="Arial"/>
                <w:sz w:val="20"/>
                <w:szCs w:val="20"/>
                <w:color w:val="auto"/>
                <w:w w:val="89"/>
              </w:rPr>
              <w:t>The filing of this statement should not be construed as an admission that any of the Reporting Persons is, for the purposes</w:t>
            </w:r>
          </w:p>
        </w:tc>
      </w:tr>
      <w:tr>
        <w:trPr>
          <w:trHeight w:val="250"/>
        </w:trPr>
        <w:tc>
          <w:tcPr>
            <w:tcW w:w="1260" w:type="dxa"/>
            <w:vAlign w:val="bottom"/>
          </w:tcPr>
          <w:p>
            <w:pPr>
              <w:spacing w:after="0"/>
              <w:rPr>
                <w:sz w:val="21"/>
                <w:szCs w:val="21"/>
                <w:color w:val="auto"/>
              </w:rPr>
            </w:pPr>
          </w:p>
        </w:tc>
        <w:tc>
          <w:tcPr>
            <w:tcW w:w="9980" w:type="dxa"/>
            <w:vAlign w:val="bottom"/>
            <w:gridSpan w:val="11"/>
          </w:tcPr>
          <w:p>
            <w:pPr>
              <w:ind w:left="320"/>
              <w:spacing w:after="0"/>
              <w:rPr>
                <w:sz w:val="20"/>
                <w:szCs w:val="20"/>
                <w:color w:val="auto"/>
              </w:rPr>
            </w:pPr>
            <w:r>
              <w:rPr>
                <w:rFonts w:ascii="Arial" w:cs="Arial" w:eastAsia="Arial" w:hAnsi="Arial"/>
                <w:sz w:val="20"/>
                <w:szCs w:val="20"/>
                <w:color w:val="auto"/>
              </w:rPr>
              <w:t>of Section 13 of the Act, the beneficial owner of the shares of Common Stock reported herein.</w:t>
            </w:r>
          </w:p>
        </w:tc>
      </w:tr>
      <w:tr>
        <w:trPr>
          <w:trHeight w:val="459"/>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520" w:type="dxa"/>
            <w:vAlign w:val="bottom"/>
          </w:tcPr>
          <w:p>
            <w:pPr>
              <w:spacing w:after="0"/>
              <w:rPr>
                <w:sz w:val="24"/>
                <w:szCs w:val="24"/>
                <w:color w:val="auto"/>
              </w:rPr>
            </w:pPr>
          </w:p>
        </w:tc>
        <w:tc>
          <w:tcPr>
            <w:tcW w:w="9460" w:type="dxa"/>
            <w:vAlign w:val="bottom"/>
            <w:gridSpan w:val="10"/>
          </w:tcPr>
          <w:p>
            <w:pPr>
              <w:ind w:left="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60" w:type="dxa"/>
            <w:vAlign w:val="bottom"/>
            <w:gridSpan w:val="10"/>
          </w:tcPr>
          <w:p>
            <w:pPr>
              <w:ind w:left="20"/>
              <w:spacing w:after="0"/>
              <w:rPr>
                <w:sz w:val="20"/>
                <w:szCs w:val="20"/>
                <w:color w:val="auto"/>
              </w:rPr>
            </w:pPr>
            <w:r>
              <w:rPr>
                <w:rFonts w:ascii="Arial" w:cs="Arial" w:eastAsia="Arial" w:hAnsi="Arial"/>
                <w:sz w:val="20"/>
                <w:szCs w:val="20"/>
                <w:color w:val="auto"/>
                <w:w w:val="92"/>
              </w:rPr>
              <w:t>The address of the business office of each of the Reporting Persons is 250 West 55</w:t>
            </w:r>
            <w:r>
              <w:rPr>
                <w:rFonts w:ascii="Arial" w:cs="Arial" w:eastAsia="Arial" w:hAnsi="Arial"/>
                <w:sz w:val="32"/>
                <w:szCs w:val="32"/>
                <w:color w:val="auto"/>
                <w:w w:val="92"/>
                <w:vertAlign w:val="superscript"/>
              </w:rPr>
              <w:t>th</w:t>
            </w:r>
            <w:r>
              <w:rPr>
                <w:rFonts w:ascii="Arial" w:cs="Arial" w:eastAsia="Arial" w:hAnsi="Arial"/>
                <w:sz w:val="20"/>
                <w:szCs w:val="20"/>
                <w:color w:val="auto"/>
                <w:w w:val="92"/>
              </w:rPr>
              <w:t xml:space="preserve"> Street, Suite 30A, New York,</w:t>
            </w:r>
          </w:p>
        </w:tc>
      </w:tr>
      <w:tr>
        <w:trPr>
          <w:trHeight w:val="250"/>
        </w:trPr>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60" w:type="dxa"/>
            <w:vAlign w:val="bottom"/>
            <w:gridSpan w:val="10"/>
          </w:tcPr>
          <w:p>
            <w:pPr>
              <w:ind w:left="20"/>
              <w:spacing w:after="0"/>
              <w:rPr>
                <w:sz w:val="20"/>
                <w:szCs w:val="20"/>
                <w:color w:val="auto"/>
              </w:rPr>
            </w:pPr>
            <w:r>
              <w:rPr>
                <w:rFonts w:ascii="Arial" w:cs="Arial" w:eastAsia="Arial" w:hAnsi="Arial"/>
                <w:sz w:val="20"/>
                <w:szCs w:val="20"/>
                <w:color w:val="auto"/>
              </w:rPr>
              <w:t>New York 10019.</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980" w:type="dxa"/>
            <w:vAlign w:val="bottom"/>
            <w:gridSpan w:val="11"/>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980" w:type="dxa"/>
            <w:vAlign w:val="bottom"/>
            <w:gridSpan w:val="11"/>
          </w:tcPr>
          <w:p>
            <w:pPr>
              <w:ind w:left="440"/>
              <w:spacing w:after="0"/>
              <w:rPr>
                <w:sz w:val="20"/>
                <w:szCs w:val="20"/>
                <w:color w:val="auto"/>
              </w:rPr>
            </w:pPr>
            <w:r>
              <w:rPr>
                <w:rFonts w:ascii="Arial" w:cs="Arial" w:eastAsia="Arial" w:hAnsi="Arial"/>
                <w:sz w:val="20"/>
                <w:szCs w:val="20"/>
                <w:color w:val="auto"/>
              </w:rPr>
              <w:t>Glazer Capital is a Delaware limited liability company. Mr. Glazer is a United States citizen.</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80" w:type="dxa"/>
            <w:vAlign w:val="bottom"/>
            <w:gridSpan w:val="11"/>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59"/>
        </w:trPr>
        <w:tc>
          <w:tcPr>
            <w:tcW w:w="1260" w:type="dxa"/>
            <w:vAlign w:val="bottom"/>
          </w:tcPr>
          <w:p>
            <w:pPr>
              <w:spacing w:after="0"/>
              <w:rPr>
                <w:sz w:val="24"/>
                <w:szCs w:val="24"/>
                <w:color w:val="auto"/>
              </w:rPr>
            </w:pPr>
          </w:p>
        </w:tc>
        <w:tc>
          <w:tcPr>
            <w:tcW w:w="9980" w:type="dxa"/>
            <w:vAlign w:val="bottom"/>
            <w:gridSpan w:val="11"/>
          </w:tcPr>
          <w:p>
            <w:pPr>
              <w:ind w:left="440"/>
              <w:spacing w:after="0"/>
              <w:rPr>
                <w:sz w:val="20"/>
                <w:szCs w:val="20"/>
                <w:color w:val="auto"/>
              </w:rPr>
            </w:pPr>
            <w:r>
              <w:rPr>
                <w:rFonts w:ascii="Arial" w:cs="Arial" w:eastAsia="Arial" w:hAnsi="Arial"/>
                <w:sz w:val="20"/>
                <w:szCs w:val="20"/>
                <w:color w:val="auto"/>
              </w:rPr>
              <w:t>Common Shares, without par value</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980" w:type="dxa"/>
            <w:vAlign w:val="bottom"/>
            <w:gridSpan w:val="11"/>
          </w:tcPr>
          <w:p>
            <w:pPr>
              <w:ind w:left="440"/>
              <w:spacing w:after="0"/>
              <w:rPr>
                <w:sz w:val="20"/>
                <w:szCs w:val="20"/>
                <w:color w:val="auto"/>
              </w:rPr>
            </w:pPr>
            <w:r>
              <w:rPr>
                <w:rFonts w:ascii="Arial" w:cs="Arial" w:eastAsia="Arial" w:hAnsi="Arial"/>
                <w:sz w:val="20"/>
                <w:szCs w:val="20"/>
                <w:b w:val="1"/>
                <w:bCs w:val="1"/>
                <w:color w:val="auto"/>
              </w:rPr>
              <w:t>CUSIP NUMBER:</w:t>
            </w:r>
          </w:p>
        </w:tc>
      </w:tr>
      <w:tr>
        <w:trPr>
          <w:trHeight w:val="459"/>
        </w:trPr>
        <w:tc>
          <w:tcPr>
            <w:tcW w:w="1260" w:type="dxa"/>
            <w:vAlign w:val="bottom"/>
          </w:tcPr>
          <w:p>
            <w:pPr>
              <w:spacing w:after="0"/>
              <w:rPr>
                <w:sz w:val="24"/>
                <w:szCs w:val="24"/>
                <w:color w:val="auto"/>
              </w:rPr>
            </w:pPr>
          </w:p>
        </w:tc>
        <w:tc>
          <w:tcPr>
            <w:tcW w:w="9980" w:type="dxa"/>
            <w:vAlign w:val="bottom"/>
            <w:gridSpan w:val="11"/>
          </w:tcPr>
          <w:p>
            <w:pPr>
              <w:ind w:left="440"/>
              <w:spacing w:after="0"/>
              <w:rPr>
                <w:sz w:val="20"/>
                <w:szCs w:val="20"/>
                <w:color w:val="auto"/>
              </w:rPr>
            </w:pPr>
            <w:r>
              <w:rPr>
                <w:rFonts w:ascii="Arial" w:cs="Arial" w:eastAsia="Arial" w:hAnsi="Arial"/>
                <w:sz w:val="20"/>
                <w:szCs w:val="20"/>
                <w:color w:val="auto"/>
              </w:rPr>
              <w:t>G8598Y109</w:t>
            </w: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11"/>
          </w:tcPr>
          <w:p>
            <w:pPr>
              <w:ind w:left="440"/>
              <w:spacing w:after="0"/>
              <w:rPr>
                <w:sz w:val="20"/>
                <w:szCs w:val="20"/>
                <w:color w:val="auto"/>
              </w:rPr>
            </w:pPr>
            <w:r>
              <w:rPr>
                <w:rFonts w:ascii="Arial" w:cs="Arial" w:eastAsia="Arial" w:hAnsi="Arial"/>
                <w:sz w:val="20"/>
                <w:szCs w:val="20"/>
                <w:b w:val="1"/>
                <w:bCs w:val="1"/>
                <w:color w:val="auto"/>
                <w:w w:val="98"/>
              </w:rPr>
              <w:t>IF THIS STATEMENT IS FILED PURSUANT TO RULES 13d-1(b) OR 13d-2(b) OR (c), CHECK WHETHER</w:t>
            </w:r>
          </w:p>
        </w:tc>
      </w:tr>
      <w:tr>
        <w:trPr>
          <w:trHeight w:val="256"/>
        </w:trPr>
        <w:tc>
          <w:tcPr>
            <w:tcW w:w="1260" w:type="dxa"/>
            <w:vAlign w:val="bottom"/>
          </w:tcPr>
          <w:p>
            <w:pPr>
              <w:spacing w:after="0"/>
              <w:rPr>
                <w:sz w:val="22"/>
                <w:szCs w:val="22"/>
                <w:color w:val="auto"/>
              </w:rPr>
            </w:pPr>
          </w:p>
        </w:tc>
        <w:tc>
          <w:tcPr>
            <w:tcW w:w="9980" w:type="dxa"/>
            <w:vAlign w:val="bottom"/>
            <w:gridSpan w:val="11"/>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20"/>
                <w:szCs w:val="20"/>
                <w:color w:val="auto"/>
              </w:rPr>
              <w:t>(a)</w:t>
            </w:r>
          </w:p>
        </w:tc>
        <w:tc>
          <w:tcPr>
            <w:tcW w:w="460" w:type="dxa"/>
            <w:vAlign w:val="bottom"/>
          </w:tcPr>
          <w:p>
            <w:pPr>
              <w:spacing w:after="0"/>
              <w:rPr>
                <w:sz w:val="24"/>
                <w:szCs w:val="24"/>
                <w:color w:val="auto"/>
              </w:rPr>
            </w:pPr>
          </w:p>
        </w:tc>
        <w:tc>
          <w:tcPr>
            <w:tcW w:w="8700" w:type="dxa"/>
            <w:vAlign w:val="bottom"/>
            <w:gridSpan w:val="8"/>
          </w:tcPr>
          <w:p>
            <w:pPr>
              <w:ind w:left="8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tc>
      </w:tr>
    </w:tbl>
    <w:p>
      <w:pPr>
        <w:sectPr>
          <w:pgSz w:w="11900" w:h="16838" w:orient="portrait"/>
          <w:cols w:equalWidth="0" w:num="1">
            <w:col w:w="11240"/>
          </w:cols>
          <w:pgMar w:left="320" w:top="927" w:right="339" w:bottom="1440" w:gutter="0" w:footer="0" w:header="0"/>
        </w:sectPr>
      </w:pPr>
    </w:p>
    <w:bookmarkStart w:id="4" w:name="page5"/>
    <w:bookmarkEnd w:id="4"/>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180" w:hanging="1347"/>
        <w:spacing w:after="0" w:line="250" w:lineRule="exact"/>
        <w:tabs>
          <w:tab w:leader="none" w:pos="2518"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18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40" w:right="3220" w:hanging="1347"/>
        <w:spacing w:after="0" w:line="250"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ind w:left="3040" w:right="600" w:hanging="1347"/>
        <w:spacing w:after="0" w:line="23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 (12 U.S.C. 1813);</w:t>
      </w:r>
    </w:p>
    <w:p>
      <w:pPr>
        <w:spacing w:after="0" w:line="184" w:lineRule="exact"/>
        <w:rPr>
          <w:rFonts w:ascii="Arial" w:cs="Arial" w:eastAsia="Arial" w:hAnsi="Arial"/>
          <w:sz w:val="20"/>
          <w:szCs w:val="20"/>
          <w:color w:val="auto"/>
        </w:rPr>
      </w:pPr>
    </w:p>
    <w:p>
      <w:pPr>
        <w:ind w:left="3040" w:right="300" w:hanging="1347"/>
        <w:spacing w:after="0" w:line="25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2" w:lineRule="exact"/>
        <w:rPr>
          <w:sz w:val="20"/>
          <w:szCs w:val="20"/>
          <w:color w:val="auto"/>
        </w:rPr>
      </w:pPr>
    </w:p>
    <w:p>
      <w:pPr>
        <w:ind w:left="17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184"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5" w:lineRule="exact"/>
        <w:rPr>
          <w:sz w:val="20"/>
          <w:szCs w:val="20"/>
          <w:color w:val="auto"/>
        </w:rPr>
      </w:pPr>
    </w:p>
    <w:p>
      <w:pPr>
        <w:ind w:left="1600" w:right="1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600" w:right="56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[X].</w:t>
      </w:r>
    </w:p>
    <w:p>
      <w:pPr>
        <w:spacing w:after="0" w:line="160"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600" w:hanging="1589"/>
        <w:spacing w:after="0" w:line="267" w:lineRule="auto"/>
        <w:tabs>
          <w:tab w:leader="none" w:pos="15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ectPr>
          <w:pgSz w:w="11900" w:h="16838" w:orient="portrait"/>
          <w:cols w:equalWidth="0" w:num="1">
            <w:col w:w="11140"/>
          </w:cols>
          <w:pgMar w:left="420" w:top="679" w:right="339" w:bottom="1440" w:gutter="0" w:footer="0" w:header="0"/>
        </w:sectPr>
      </w:pPr>
    </w:p>
    <w:bookmarkStart w:id="5" w:name="page6"/>
    <w:bookmarkEnd w:id="5"/>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00"/>
        <w:spacing w:after="0" w:line="282" w:lineRule="auto"/>
        <w:rPr>
          <w:sz w:val="20"/>
          <w:szCs w:val="20"/>
          <w:color w:val="auto"/>
        </w:rPr>
      </w:pPr>
      <w:r>
        <w:rPr>
          <w:rFonts w:ascii="Arial" w:cs="Arial" w:eastAsia="Arial" w:hAnsi="Arial"/>
          <w:sz w:val="18"/>
          <w:szCs w:val="18"/>
          <w:color w:val="auto"/>
        </w:rPr>
        <w:t>By signing below each Reporting Person certifies that, to the best of its or his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20" w:top="933"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or his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14,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p>
      <w:pPr>
        <w:sectPr>
          <w:pgSz w:w="11900" w:h="16838" w:orient="portrait"/>
          <w:cols w:equalWidth="0" w:num="1">
            <w:col w:w="11240"/>
          </w:cols>
          <w:pgMar w:left="320" w:top="114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EXHIBIT 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JOINT FILING AGREEMENT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DATED as of February 14,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sectPr>
      <w:pgSz w:w="11900" w:h="16838" w:orient="portrait"/>
      <w:cols w:equalWidth="0" w:num="1">
        <w:col w:w="11240"/>
      </w:cols>
      <w:pgMar w:left="320" w:top="13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2022-02-14T16:15:22Z</dcterms:created>
  <dcterms:modified xsi:type="dcterms:W3CDTF">2022-02-14T16:15:22Z</dcterms:modified>
</cp:coreProperties>
</file>