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860" w:right="4780" w:firstLine="229"/>
        <w:spacing w:after="0" w:line="516" w:lineRule="auto"/>
        <w:tabs>
          <w:tab w:leader="none" w:pos="5232" w:val="left"/>
        </w:tabs>
        <w:numPr>
          <w:ilvl w:val="0"/>
          <w:numId w:val="1"/>
        </w:numPr>
        <w:rPr>
          <w:rFonts w:ascii="Arial" w:cs="Arial" w:eastAsia="Arial" w:hAnsi="Arial"/>
          <w:sz w:val="17"/>
          <w:szCs w:val="17"/>
          <w:color w:val="auto"/>
        </w:rPr>
      </w:pPr>
      <w:r>
        <w:rPr>
          <w:rFonts w:ascii="Arial" w:cs="Arial" w:eastAsia="Arial" w:hAnsi="Arial"/>
          <w:sz w:val="17"/>
          <w:szCs w:val="17"/>
          <w:color w:val="auto"/>
        </w:rPr>
        <w:t>240.13d-2(a) (Amendment No. )*</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TMC Common Shares without par value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87261Y 106</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Cornelis Kooger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Route de Pra de Plan 18, Case Postale 411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1618 Châtel-Saint-Denis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+41 21 948 3500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2021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ind w:right="700" w:firstLine="8"/>
        <w:spacing w:after="0" w:line="308" w:lineRule="auto"/>
        <w:tabs>
          <w:tab w:leader="none" w:pos="71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80" w:hanging="900"/>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Allseas Group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tcBorders>
              <w:top w:val="single" w:sz="8" w:color="auto"/>
            </w:tcBorders>
            <w:gridSpan w:val="2"/>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top w:val="single" w:sz="8" w:color="auto"/>
            </w:tcBorders>
          </w:tcPr>
          <w:p>
            <w:pPr>
              <w:ind w:left="3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3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6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SOURCE OF FUNDS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OO</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80"/>
              <w:spacing w:after="0"/>
              <w:rPr>
                <w:sz w:val="20"/>
                <w:szCs w:val="20"/>
                <w:color w:val="auto"/>
              </w:rPr>
            </w:pPr>
            <w:r>
              <w:rPr>
                <w:rFonts w:ascii="Arial" w:cs="Arial" w:eastAsia="Arial" w:hAnsi="Arial"/>
                <w:sz w:val="18"/>
                <w:szCs w:val="18"/>
                <w:color w:val="auto"/>
              </w:rPr>
              <w:t>2(e)</w:t>
            </w:r>
          </w:p>
        </w:tc>
        <w:tc>
          <w:tcPr>
            <w:tcW w:w="6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Switzerland</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rPr>
              <w:t>7</w:t>
            </w:r>
          </w:p>
        </w:tc>
        <w:tc>
          <w:tcPr>
            <w:tcW w:w="67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7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right"/>
              <w:ind w:right="650"/>
              <w:spacing w:after="0" w:line="182" w:lineRule="exact"/>
              <w:rPr>
                <w:sz w:val="20"/>
                <w:szCs w:val="20"/>
                <w:color w:val="auto"/>
              </w:rPr>
            </w:pPr>
            <w:r>
              <w:rPr>
                <w:rFonts w:ascii="Arial" w:cs="Arial" w:eastAsia="Arial" w:hAnsi="Arial"/>
                <w:sz w:val="18"/>
                <w:szCs w:val="18"/>
                <w:color w:val="auto"/>
              </w:rPr>
              <w:t>8</w:t>
            </w:r>
          </w:p>
        </w:tc>
        <w:tc>
          <w:tcPr>
            <w:tcW w:w="67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7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14,222,224</w:t>
            </w:r>
            <w:r>
              <w:rPr>
                <w:rFonts w:ascii="Arial" w:cs="Arial" w:eastAsia="Arial" w:hAnsi="Arial"/>
                <w:sz w:val="26"/>
                <w:szCs w:val="26"/>
                <w:b w:val="1"/>
                <w:bCs w:val="1"/>
                <w:color w:val="auto"/>
                <w:vertAlign w:val="superscript"/>
              </w:rPr>
              <w:t>(1)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9</w:t>
            </w:r>
          </w:p>
        </w:tc>
        <w:tc>
          <w:tcPr>
            <w:tcW w:w="67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78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10</w:t>
            </w:r>
          </w:p>
        </w:tc>
        <w:tc>
          <w:tcPr>
            <w:tcW w:w="67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14,222,224</w:t>
            </w:r>
            <w:r>
              <w:rPr>
                <w:rFonts w:ascii="Arial" w:cs="Arial" w:eastAsia="Arial" w:hAnsi="Arial"/>
                <w:sz w:val="29"/>
                <w:szCs w:val="29"/>
                <w:b w:val="1"/>
                <w:bCs w:val="1"/>
                <w:color w:val="auto"/>
                <w:vertAlign w:val="superscript"/>
              </w:rPr>
              <w:t>(1)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14,222,224</w:t>
            </w:r>
            <w:r>
              <w:rPr>
                <w:rFonts w:ascii="Arial" w:cs="Arial" w:eastAsia="Arial" w:hAnsi="Arial"/>
                <w:sz w:val="29"/>
                <w:szCs w:val="29"/>
                <w:b w:val="1"/>
                <w:bCs w:val="1"/>
                <w:color w:val="auto"/>
                <w:vertAlign w:val="superscript"/>
              </w:rPr>
              <w:t>(1)</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2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3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6.3</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Allseas Investments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tcBorders>
              <w:top w:val="single" w:sz="8" w:color="auto"/>
            </w:tcBorders>
            <w:gridSpan w:val="2"/>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top w:val="single" w:sz="8" w:color="auto"/>
            </w:tcBorders>
          </w:tcPr>
          <w:p>
            <w:pPr>
              <w:ind w:left="3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3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6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SOURCE OF FUNDS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OO</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80"/>
              <w:spacing w:after="0"/>
              <w:rPr>
                <w:sz w:val="20"/>
                <w:szCs w:val="20"/>
                <w:color w:val="auto"/>
              </w:rPr>
            </w:pPr>
            <w:r>
              <w:rPr>
                <w:rFonts w:ascii="Arial" w:cs="Arial" w:eastAsia="Arial" w:hAnsi="Arial"/>
                <w:sz w:val="18"/>
                <w:szCs w:val="18"/>
                <w:color w:val="auto"/>
              </w:rPr>
              <w:t>2(e)</w:t>
            </w:r>
          </w:p>
        </w:tc>
        <w:tc>
          <w:tcPr>
            <w:tcW w:w="6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Switzerland</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rPr>
              <w:t>7</w:t>
            </w:r>
          </w:p>
        </w:tc>
        <w:tc>
          <w:tcPr>
            <w:tcW w:w="67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7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right"/>
              <w:ind w:right="650"/>
              <w:spacing w:after="0" w:line="182" w:lineRule="exact"/>
              <w:rPr>
                <w:sz w:val="20"/>
                <w:szCs w:val="20"/>
                <w:color w:val="auto"/>
              </w:rPr>
            </w:pPr>
            <w:r>
              <w:rPr>
                <w:rFonts w:ascii="Arial" w:cs="Arial" w:eastAsia="Arial" w:hAnsi="Arial"/>
                <w:sz w:val="18"/>
                <w:szCs w:val="18"/>
                <w:color w:val="auto"/>
              </w:rPr>
              <w:t>8</w:t>
            </w:r>
          </w:p>
        </w:tc>
        <w:tc>
          <w:tcPr>
            <w:tcW w:w="67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7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14,222,224</w:t>
            </w:r>
            <w:r>
              <w:rPr>
                <w:rFonts w:ascii="Arial" w:cs="Arial" w:eastAsia="Arial" w:hAnsi="Arial"/>
                <w:sz w:val="26"/>
                <w:szCs w:val="26"/>
                <w:b w:val="1"/>
                <w:bCs w:val="1"/>
                <w:color w:val="auto"/>
                <w:vertAlign w:val="superscript"/>
              </w:rPr>
              <w:t>(1)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9</w:t>
            </w:r>
          </w:p>
        </w:tc>
        <w:tc>
          <w:tcPr>
            <w:tcW w:w="67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78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10</w:t>
            </w:r>
          </w:p>
        </w:tc>
        <w:tc>
          <w:tcPr>
            <w:tcW w:w="67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14,222,224</w:t>
            </w:r>
            <w:r>
              <w:rPr>
                <w:rFonts w:ascii="Arial" w:cs="Arial" w:eastAsia="Arial" w:hAnsi="Arial"/>
                <w:sz w:val="29"/>
                <w:szCs w:val="29"/>
                <w:b w:val="1"/>
                <w:bCs w:val="1"/>
                <w:color w:val="auto"/>
                <w:vertAlign w:val="superscript"/>
              </w:rPr>
              <w:t>(1)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14,222,224</w:t>
            </w:r>
            <w:r>
              <w:rPr>
                <w:rFonts w:ascii="Arial" w:cs="Arial" w:eastAsia="Arial" w:hAnsi="Arial"/>
                <w:sz w:val="29"/>
                <w:szCs w:val="29"/>
                <w:b w:val="1"/>
                <w:bCs w:val="1"/>
                <w:color w:val="auto"/>
                <w:vertAlign w:val="superscript"/>
              </w:rPr>
              <w:t>(1)</w:t>
            </w:r>
          </w:p>
        </w:tc>
        <w:tc>
          <w:tcPr>
            <w:tcW w:w="6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gridSpan w:val="2"/>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6.3</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Argentum Credit Virtuti GCV</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tcBorders>
              <w:top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40" w:type="dxa"/>
            <w:vAlign w:val="bottom"/>
            <w:tcBorders>
              <w:top w:val="single" w:sz="8" w:color="auto"/>
            </w:tcBorders>
          </w:tcPr>
          <w:p>
            <w:pPr>
              <w:ind w:left="3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2(e)</w:t>
            </w:r>
          </w:p>
        </w:tc>
        <w:tc>
          <w:tcPr>
            <w:tcW w:w="6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Belgium</w:t>
            </w:r>
          </w:p>
        </w:tc>
        <w:tc>
          <w:tcPr>
            <w:tcW w:w="6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rPr>
              <w:t>7</w:t>
            </w:r>
          </w:p>
        </w:tc>
        <w:tc>
          <w:tcPr>
            <w:tcW w:w="68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8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right"/>
              <w:ind w:right="650"/>
              <w:spacing w:after="0" w:line="182" w:lineRule="exact"/>
              <w:rPr>
                <w:sz w:val="20"/>
                <w:szCs w:val="20"/>
                <w:color w:val="auto"/>
              </w:rPr>
            </w:pPr>
            <w:r>
              <w:rPr>
                <w:rFonts w:ascii="Arial" w:cs="Arial" w:eastAsia="Arial" w:hAnsi="Arial"/>
                <w:sz w:val="18"/>
                <w:szCs w:val="18"/>
                <w:color w:val="auto"/>
              </w:rPr>
              <w:t>8</w:t>
            </w:r>
          </w:p>
        </w:tc>
        <w:tc>
          <w:tcPr>
            <w:tcW w:w="68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80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15,222,224</w:t>
            </w:r>
            <w:r>
              <w:rPr>
                <w:rFonts w:ascii="Arial" w:cs="Arial" w:eastAsia="Arial" w:hAnsi="Arial"/>
                <w:sz w:val="26"/>
                <w:szCs w:val="26"/>
                <w:b w:val="1"/>
                <w:bCs w:val="1"/>
                <w:color w:val="auto"/>
                <w:vertAlign w:val="superscript"/>
              </w:rPr>
              <w:t>(3)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9</w:t>
            </w:r>
          </w:p>
        </w:tc>
        <w:tc>
          <w:tcPr>
            <w:tcW w:w="68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8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10</w:t>
            </w:r>
          </w:p>
        </w:tc>
        <w:tc>
          <w:tcPr>
            <w:tcW w:w="68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9"/>
                <w:szCs w:val="29"/>
                <w:b w:val="1"/>
                <w:bCs w:val="1"/>
                <w:color w:val="auto"/>
                <w:vertAlign w:val="superscript"/>
              </w:rPr>
              <w:t>(3)</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9"/>
                <w:szCs w:val="29"/>
                <w:b w:val="1"/>
                <w:bCs w:val="1"/>
                <w:color w:val="auto"/>
                <w:vertAlign w:val="superscript"/>
              </w:rPr>
              <w:t>(3)</w:t>
            </w:r>
          </w:p>
        </w:tc>
        <w:tc>
          <w:tcPr>
            <w:tcW w:w="6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gridSpan w:val="2"/>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6.8</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528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5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4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260"/>
              <w:spacing w:after="0" w:line="16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8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4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2(e)</w:t>
            </w:r>
          </w:p>
        </w:tc>
        <w:tc>
          <w:tcPr>
            <w:tcW w:w="6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The Netherlands</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6860" w:type="dxa"/>
            <w:vAlign w:val="bottom"/>
          </w:tcPr>
          <w:p>
            <w:pPr>
              <w:ind w:left="100"/>
              <w:spacing w:after="0" w:line="201"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8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86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18"/>
                <w:szCs w:val="18"/>
                <w:color w:val="auto"/>
              </w:rPr>
            </w:pPr>
          </w:p>
        </w:tc>
        <w:tc>
          <w:tcPr>
            <w:tcW w:w="6860" w:type="dxa"/>
            <w:vAlign w:val="bottom"/>
          </w:tcPr>
          <w:p>
            <w:pPr>
              <w:ind w:left="280"/>
              <w:spacing w:after="0" w:line="216" w:lineRule="exact"/>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560" w:type="dxa"/>
            <w:vAlign w:val="bottom"/>
            <w:vMerge w:val="continue"/>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68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8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1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440" w:type="dxa"/>
            <w:vAlign w:val="bottom"/>
            <w:tcBorders>
              <w:bottom w:val="single" w:sz="8" w:color="auto"/>
            </w:tcBorders>
            <w:gridSpan w:val="2"/>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6.8</w:t>
            </w:r>
            <w:r>
              <w:rPr>
                <w:rFonts w:ascii="Arial" w:cs="Arial" w:eastAsia="Arial" w:hAnsi="Arial"/>
                <w:sz w:val="18"/>
                <w:szCs w:val="18"/>
                <w:color w:val="auto"/>
              </w:rPr>
              <w:t>%</w:t>
            </w:r>
            <w:r>
              <w:rPr>
                <w:rFonts w:ascii="Arial" w:cs="Arial" w:eastAsia="Arial" w:hAnsi="Arial"/>
                <w:sz w:val="23"/>
                <w:szCs w:val="23"/>
                <w:color w:val="auto"/>
                <w:vertAlign w:val="superscript"/>
              </w:rPr>
              <w:t>(2)</w:t>
            </w:r>
          </w:p>
        </w:tc>
        <w:tc>
          <w:tcPr>
            <w:tcW w:w="6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528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Edward Heerema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2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8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4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2(e)</w:t>
            </w:r>
          </w:p>
        </w:tc>
        <w:tc>
          <w:tcPr>
            <w:tcW w:w="6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7</w:t>
            </w:r>
          </w:p>
        </w:tc>
        <w:tc>
          <w:tcPr>
            <w:tcW w:w="6860" w:type="dxa"/>
            <w:vAlign w:val="bottom"/>
          </w:tcPr>
          <w:p>
            <w:pPr>
              <w:ind w:left="100"/>
              <w:spacing w:after="0" w:line="176"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right w:val="single" w:sz="8" w:color="auto"/>
            </w:tcBorders>
          </w:tcPr>
          <w:p>
            <w:pPr>
              <w:spacing w:after="0"/>
              <w:rPr>
                <w:sz w:val="18"/>
                <w:szCs w:val="18"/>
                <w:color w:val="auto"/>
              </w:rPr>
            </w:pPr>
          </w:p>
        </w:tc>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80" w:type="dxa"/>
            <w:vAlign w:val="bottom"/>
            <w:tcBorders>
              <w:bottom w:val="single" w:sz="8" w:color="auto"/>
              <w:right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560" w:type="dxa"/>
            <w:vAlign w:val="bottom"/>
            <w:vMerge w:val="continue"/>
          </w:tcPr>
          <w:p>
            <w:pPr>
              <w:spacing w:after="0"/>
              <w:rPr>
                <w:sz w:val="14"/>
                <w:szCs w:val="14"/>
                <w:color w:val="auto"/>
              </w:rPr>
            </w:pPr>
          </w:p>
        </w:tc>
        <w:tc>
          <w:tcPr>
            <w:tcW w:w="15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9"/>
              </w:rPr>
              <w:t>8</w:t>
            </w:r>
          </w:p>
        </w:tc>
        <w:tc>
          <w:tcPr>
            <w:tcW w:w="6860" w:type="dxa"/>
            <w:vAlign w:val="bottom"/>
          </w:tcPr>
          <w:p>
            <w:pPr>
              <w:ind w:left="100"/>
              <w:spacing w:after="0" w:line="168"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18"/>
                <w:szCs w:val="18"/>
                <w:color w:val="auto"/>
              </w:rPr>
            </w:pPr>
          </w:p>
        </w:tc>
        <w:tc>
          <w:tcPr>
            <w:tcW w:w="6860" w:type="dxa"/>
            <w:vAlign w:val="bottom"/>
          </w:tcPr>
          <w:p>
            <w:pPr>
              <w:ind w:left="280"/>
              <w:spacing w:after="0" w:line="216" w:lineRule="exact"/>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560" w:type="dxa"/>
            <w:vAlign w:val="bottom"/>
            <w:vMerge w:val="continue"/>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68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8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15,222,224</w:t>
            </w:r>
            <w:r>
              <w:rPr>
                <w:rFonts w:ascii="Arial" w:cs="Arial" w:eastAsia="Arial" w:hAnsi="Arial"/>
                <w:sz w:val="23"/>
                <w:szCs w:val="23"/>
                <w:b w:val="1"/>
                <w:bCs w:val="1"/>
                <w:color w:val="auto"/>
                <w:vertAlign w:val="superscript"/>
              </w:rPr>
              <w:t>(3)</w:t>
            </w:r>
          </w:p>
        </w:tc>
        <w:tc>
          <w:tcPr>
            <w:tcW w:w="6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1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440" w:type="dxa"/>
            <w:vAlign w:val="bottom"/>
            <w:tcBorders>
              <w:bottom w:val="single" w:sz="8" w:color="auto"/>
            </w:tcBorders>
            <w:gridSpan w:val="2"/>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6.8</w:t>
            </w:r>
            <w:r>
              <w:rPr>
                <w:rFonts w:ascii="Arial" w:cs="Arial" w:eastAsia="Arial" w:hAnsi="Arial"/>
                <w:sz w:val="18"/>
                <w:szCs w:val="18"/>
                <w:color w:val="auto"/>
              </w:rPr>
              <w:t>%</w:t>
            </w:r>
            <w:r>
              <w:rPr>
                <w:rFonts w:ascii="Arial" w:cs="Arial" w:eastAsia="Arial" w:hAnsi="Arial"/>
                <w:sz w:val="23"/>
                <w:szCs w:val="23"/>
                <w:color w:val="auto"/>
                <w:vertAlign w:val="superscript"/>
              </w:rPr>
              <w:t>(2)</w:t>
            </w:r>
          </w:p>
        </w:tc>
        <w:tc>
          <w:tcPr>
            <w:tcW w:w="6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40" w:firstLine="8"/>
        <w:spacing w:after="0" w:line="308" w:lineRule="auto"/>
        <w:tabs>
          <w:tab w:leader="none" w:pos="5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14,222,224 common shares of the Issuer ("TMC Common Shares") held by Allseas Group S.A. Excludes shares of TMC Common Shares issuable upon the exercise of 10,000,000 warrants of the Issuer, contingent upon successful completion the pilot mining test system.</w:t>
      </w:r>
    </w:p>
    <w:p>
      <w:pPr>
        <w:spacing w:after="0" w:line="146" w:lineRule="exact"/>
        <w:rPr>
          <w:rFonts w:ascii="Arial" w:cs="Arial" w:eastAsia="Arial" w:hAnsi="Arial"/>
          <w:sz w:val="17"/>
          <w:szCs w:val="17"/>
          <w:color w:val="auto"/>
        </w:rPr>
      </w:pPr>
    </w:p>
    <w:p>
      <w:pPr>
        <w:ind w:right="620" w:firstLine="8"/>
        <w:spacing w:after="0" w:line="381" w:lineRule="auto"/>
        <w:tabs>
          <w:tab w:leader="none" w:pos="566"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percentage is based upon 224,385,324 shares of TMC Common Shares issued and outstanding as of the closing of the Issuer's business combination described in the Issur's Current Report on Form 8-K filed with the Securities and Exchange Commission on September 15, 2021.</w:t>
      </w:r>
    </w:p>
    <w:p>
      <w:pPr>
        <w:spacing w:after="0" w:line="100" w:lineRule="exact"/>
        <w:rPr>
          <w:rFonts w:ascii="Arial" w:cs="Arial" w:eastAsia="Arial" w:hAnsi="Arial"/>
          <w:sz w:val="15"/>
          <w:szCs w:val="15"/>
          <w:color w:val="auto"/>
        </w:rPr>
      </w:pPr>
    </w:p>
    <w:p>
      <w:pPr>
        <w:ind w:right="200" w:firstLine="8"/>
        <w:spacing w:after="0" w:line="263"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14,222,224 shares of TMC Common Shares held by Allseas Group S.A. and (ii) 1,000,000 shares of TMC Common Shares held by Argentum Cedit Virtuti GCV. Excludes shares of TMC Common Shares issuable upon the exercise of 10,000,000 warrants of the Issuer, contingent upon successful completion the pilot mining test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-1296670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5" w:lineRule="exact"/>
        <w:rPr>
          <w:sz w:val="20"/>
          <w:szCs w:val="20"/>
          <w:color w:val="auto"/>
        </w:rPr>
      </w:pPr>
    </w:p>
    <w:p>
      <w:pPr>
        <w:ind w:right="680" w:firstLine="1296"/>
        <w:spacing w:after="0" w:line="341" w:lineRule="auto"/>
        <w:rPr>
          <w:sz w:val="20"/>
          <w:szCs w:val="20"/>
          <w:color w:val="auto"/>
        </w:rPr>
      </w:pPr>
      <w:r>
        <w:rPr>
          <w:rFonts w:ascii="Arial" w:cs="Arial" w:eastAsia="Arial" w:hAnsi="Arial"/>
          <w:sz w:val="16"/>
          <w:szCs w:val="16"/>
          <w:color w:val="auto"/>
        </w:rPr>
        <w:t>This Schedule 13D relates to common shares ("TMC Common Shares") with no par value of TMC the metals company Inc. (the “Issuer”). The address of the principal executive offices of the Issuer is 595 Howe Street,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Vancouver, British Columbia V6C 2T5.</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right="80" w:firstLine="656"/>
        <w:spacing w:after="0" w:line="273" w:lineRule="auto"/>
        <w:tabs>
          <w:tab w:leader="none" w:pos="13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This Schedule 13D is filed by (i) Allseas Group S.A. ("AGSA"), by virtue of its director ownership of 14,222,222 shares of TMC Common Shares, (ii) Allseas Investments S.A. ("AISA"), by virtue of its ownership of AGSA, (iii) Argentum Credit Virtuti GCV ("ACV"), by virtue of its direct ownership of 1,000,000 shares of TMC Common Shares and its ownership of AGSA and AISA, (iv) TMC Stichting Administratiekantoor Aequa Lance Foundation ("Aequa Lance Foundation"), by virtue of its ownership of AGC, and (v) Edward Heerema (the foregoing collectively, the “Reporting Persons”), by virtue of his ownership of Aequa Lance Foundation, and is being filed jointly by the Reporting Persons pursuant to Rule 13d-1(k) under the Securities Exchange Act of 1934, as amended, pursuant to the Joint Filing Agreement included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Certain Information required by this Item 2 concerning the executive officers and directors of the Reporting Person is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which is incorporated herein by reference.</w:t>
      </w:r>
    </w:p>
    <w:p>
      <w:pPr>
        <w:spacing w:after="0" w:line="170" w:lineRule="exact"/>
        <w:rPr>
          <w:sz w:val="20"/>
          <w:szCs w:val="20"/>
          <w:color w:val="auto"/>
        </w:rPr>
      </w:pPr>
    </w:p>
    <w:p>
      <w:pPr>
        <w:ind w:right="60" w:firstLine="656"/>
        <w:spacing w:after="0" w:line="308" w:lineRule="auto"/>
        <w:tabs>
          <w:tab w:leader="none" w:pos="13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principal business address of each of AGSA, AISA, Aequa Lance Foundation and Mr. Heerema is c/o Allseas Group S.A., Route de Pra de Plan 18, 1618 Chatel Saint Denis, Switzerland. The principal business address of ACV is Wiegstraat 21, 2000 Antwerpen, Belgium.</w:t>
      </w:r>
    </w:p>
    <w:p>
      <w:pPr>
        <w:spacing w:after="0" w:line="146" w:lineRule="exact"/>
        <w:rPr>
          <w:rFonts w:ascii="Arial" w:cs="Arial" w:eastAsia="Arial" w:hAnsi="Arial"/>
          <w:sz w:val="17"/>
          <w:szCs w:val="17"/>
          <w:color w:val="auto"/>
        </w:rPr>
      </w:pPr>
    </w:p>
    <w:p>
      <w:pPr>
        <w:ind w:right="460" w:firstLine="656"/>
        <w:spacing w:after="0" w:line="308" w:lineRule="auto"/>
        <w:tabs>
          <w:tab w:leader="none" w:pos="12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principal business of each of AGSA, AISA, ACV and Aequa Lance Foundation is to engage in any lawful business, purpose or activity that may be undertaken under their respective jurisdiction. The principal occupation of Mr. Heerema is President of AGSA.</w:t>
      </w:r>
    </w:p>
    <w:p>
      <w:pPr>
        <w:spacing w:after="0" w:line="146" w:lineRule="exact"/>
        <w:rPr>
          <w:rFonts w:ascii="Arial" w:cs="Arial" w:eastAsia="Arial" w:hAnsi="Arial"/>
          <w:sz w:val="17"/>
          <w:szCs w:val="17"/>
          <w:color w:val="auto"/>
        </w:rPr>
      </w:pPr>
    </w:p>
    <w:p>
      <w:pPr>
        <w:ind w:right="580" w:firstLine="656"/>
        <w:spacing w:after="0" w:line="277" w:lineRule="auto"/>
        <w:tabs>
          <w:tab w:leader="none" w:pos="13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During the last five years, none of the Reporting Persons nor, to the best knowledge of such persons, any of the persons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has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20" w:firstLine="656"/>
        <w:spacing w:after="0" w:line="259" w:lineRule="auto"/>
        <w:tabs>
          <w:tab w:leader="none" w:pos="13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During the last five years, none of the Reporting Persons nor, to the best knowledge of such persons, any of the persons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has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right="60" w:firstLine="656"/>
        <w:spacing w:after="0" w:line="277" w:lineRule="auto"/>
        <w:tabs>
          <w:tab w:leader="none" w:pos="1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AGS and AISA is a Swiss limited company. ACV is a Belgian ordinary limited partnership. Aequa Lance Foundation is a Dutch administrative entity. Mr. Heerema is a Swiss citizen.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The shares of TMC Common Shares reported on this Schedule 13D were acquired in connection with the consummation of the transactions contemplated by (i) the Business Combination Agreement, dated as of March 4, 2021 (the “Business Combination Agreement”), by and among Sustainable Opportunities Acquisition Corp., a Cayman Islands exempted company limited by shares ("SOAC" and after the Business Combination described herein, the "Issuer"), 1291924 B.C. Unlimited Liability Company, an unlimited liability company existing under the laws of British Columbia, Canada ("NewCo Sub"), and DeepGreen Metals Inc., a company existing under the laws of British Columbia, Canada ("DeepGreen") and (ii) Subscription Agreements with Sustainable Opportunities Holdings LLC, a Delaware limited liability company (the "Sponsor") and certain investors (the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Persons beneficially acquired the TMC Common Shares in connection with the transactions as described in Item 3 above.</w:t>
      </w:r>
    </w:p>
    <w:p>
      <w:pPr>
        <w:spacing w:after="0" w:line="248"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The Reporting Persons do not have any present plan or proposal which would relate to or result in any of the matters set forth in subparagraphs (a) - (j) of Item 4 of Schedule 13D except as otherwise set forth in this Schedule 13D. The Reporting Persons may from time to time, depending on market conditions and other considerations, including the relevant securities laws and any agreement or agreements that have been or may be entered into with the Issuer, purchase, or cause affiliates to purchase, additional TMC Common Shares or dispose of, or cause affiliates to dispose of, some or all of the TMC Common Shares held by them, and/or make, or cause affiliates to make, in-kind distributions of TMC Common Shares to their members, and the Reporting Persons reserve the right to change their respective intentions with respect to any or all of the matters referred to in this Item 4 of Schedule 13D.</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1580" w:hanging="776"/>
        <w:spacing w:after="0" w:line="342" w:lineRule="auto"/>
        <w:tabs>
          <w:tab w:leader="none" w:pos="1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responses to Item 2 of this Schedule 13D are incorporated by reference herein. The following information is as of the date hereof and assumes there are 224,385,324 shares of TMC Common Shares outstanding, based on the information furnished by the Issuer.</w:t>
      </w:r>
    </w:p>
    <w:p>
      <w:pPr>
        <w:spacing w:after="0" w:line="123" w:lineRule="exact"/>
        <w:rPr>
          <w:rFonts w:ascii="Arial" w:cs="Arial" w:eastAsia="Arial" w:hAnsi="Arial"/>
          <w:sz w:val="16"/>
          <w:szCs w:val="16"/>
          <w:color w:val="auto"/>
        </w:rPr>
      </w:pPr>
    </w:p>
    <w:p>
      <w:pPr>
        <w:ind w:left="1580" w:right="60"/>
        <w:spacing w:after="0" w:line="286" w:lineRule="auto"/>
        <w:rPr>
          <w:rFonts w:ascii="Arial" w:cs="Arial" w:eastAsia="Arial" w:hAnsi="Arial"/>
          <w:sz w:val="16"/>
          <w:szCs w:val="16"/>
          <w:color w:val="auto"/>
        </w:rPr>
      </w:pPr>
      <w:r>
        <w:rPr>
          <w:rFonts w:ascii="Arial" w:cs="Arial" w:eastAsia="Arial" w:hAnsi="Arial"/>
          <w:sz w:val="17"/>
          <w:szCs w:val="17"/>
          <w:color w:val="auto"/>
        </w:rPr>
        <w:t>AGSA and AISA may be deemed to beneficially own 14,222,222 shares of TMC Common Shares, or approximately 6.3% of the outstanding TMC Common Share. ACV, Aequa Lance Foundation and Mr. Heerema may be deemed to beneficially own 15,222,222 shares of TMC Common Shares, or approximately 6.8% of the outstanding TMC Common Share outstanding.</w:t>
      </w:r>
    </w:p>
    <w:p>
      <w:pPr>
        <w:spacing w:after="0" w:line="165" w:lineRule="exact"/>
        <w:rPr>
          <w:rFonts w:ascii="Arial" w:cs="Arial" w:eastAsia="Arial" w:hAnsi="Arial"/>
          <w:sz w:val="16"/>
          <w:szCs w:val="16"/>
          <w:color w:val="auto"/>
        </w:rPr>
      </w:pPr>
    </w:p>
    <w:p>
      <w:pPr>
        <w:ind w:left="1580" w:right="260"/>
        <w:spacing w:after="0" w:line="263" w:lineRule="auto"/>
        <w:rPr>
          <w:rFonts w:ascii="Arial" w:cs="Arial" w:eastAsia="Arial" w:hAnsi="Arial"/>
          <w:sz w:val="16"/>
          <w:szCs w:val="16"/>
          <w:color w:val="auto"/>
        </w:rPr>
      </w:pPr>
      <w:r>
        <w:rPr>
          <w:rFonts w:ascii="Arial" w:cs="Arial" w:eastAsia="Arial" w:hAnsi="Arial"/>
          <w:sz w:val="18"/>
          <w:szCs w:val="18"/>
          <w:color w:val="auto"/>
        </w:rPr>
        <w:t>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83" w:lineRule="exact"/>
        <w:rPr>
          <w:rFonts w:ascii="Arial" w:cs="Arial" w:eastAsia="Arial" w:hAnsi="Arial"/>
          <w:sz w:val="16"/>
          <w:szCs w:val="16"/>
          <w:color w:val="auto"/>
        </w:rPr>
      </w:pPr>
    </w:p>
    <w:p>
      <w:pPr>
        <w:ind w:left="1580" w:right="200" w:hanging="776"/>
        <w:spacing w:after="0" w:line="263" w:lineRule="auto"/>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p>
      <w:pPr>
        <w:spacing w:after="0" w:line="183" w:lineRule="exact"/>
        <w:rPr>
          <w:rFonts w:ascii="Arial" w:cs="Arial" w:eastAsia="Arial" w:hAnsi="Arial"/>
          <w:sz w:val="18"/>
          <w:szCs w:val="18"/>
          <w:color w:val="auto"/>
        </w:rPr>
      </w:pPr>
    </w:p>
    <w:p>
      <w:pPr>
        <w:jc w:val="both"/>
        <w:ind w:left="1580" w:right="120" w:hanging="776"/>
        <w:spacing w:after="0" w:line="263" w:lineRule="auto"/>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Business Combination, AGSA received 12,222,224 shares of TMC Common Shares. In connection with the PIPE Financing, AGSA received 2,000,000 shares of TMC Common Shares and ACV received 1,000,000 shares of TMC Common Shares.</w:t>
      </w:r>
    </w:p>
    <w:p>
      <w:pPr>
        <w:spacing w:after="0" w:line="183" w:lineRule="exact"/>
        <w:rPr>
          <w:rFonts w:ascii="Arial" w:cs="Arial" w:eastAsia="Arial" w:hAnsi="Arial"/>
          <w:sz w:val="18"/>
          <w:szCs w:val="18"/>
          <w:color w:val="auto"/>
        </w:rPr>
      </w:pPr>
    </w:p>
    <w:p>
      <w:pPr>
        <w:ind w:left="1580" w:right="340" w:hanging="776"/>
        <w:spacing w:after="0" w:line="263" w:lineRule="auto"/>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p>
      <w:pPr>
        <w:spacing w:after="0" w:line="183" w:lineRule="exact"/>
        <w:rPr>
          <w:rFonts w:ascii="Arial" w:cs="Arial" w:eastAsia="Arial" w:hAnsi="Arial"/>
          <w:sz w:val="18"/>
          <w:szCs w:val="18"/>
          <w:color w:val="auto"/>
        </w:rPr>
      </w:pPr>
    </w:p>
    <w:p>
      <w:pPr>
        <w:ind w:left="1580" w:hanging="776"/>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Other than as described herein and below, there are no contracts, arrangements, understandings or relationships between or amongst any of the Reporting Persons and any other person, with respect to the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Amended and Reestated Registration Rights Agreement</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At the closing of the Business Combination, the Issuer,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including AGSA, were granted certain registration rights with respect to their respective TMC Common Shares on the terms and subject to the conditions therein. The Sponsor Group Holders and the DeepGreen Holders also agreed not to effect any sale or distribution of certain equity securities of the Company held by them during the period ending on the earlier of (a) 180 days after the Closing, subject to certain customary exceptions, and (b) subsequent to the Closing, (x) if the last reported sale price of the TMC Common Shares equals or exceeds $12.00 per share for any 20 trading days within any 30 consecutive trading days commencing after the Closing or (y) the date on which the Company completes a liquidation, merger, stock exchange, reorganization or other similar transaction that results in all of the Company’s public shareholders having the right to exchange their TMC Common Shares for cash, securities or other property. Certain TMC Common Shares held by the Sponsor Group Holders shall not be offered, sold, pledged or distributed for periods of six months or twelve months, as applicable, and certain TMC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86"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full text of the Amended and Restated Registration Rights Agreement, which is attached hereto as Exhibit 4 and is incorporated herein by reference.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480"/>
        <w:spacing w:after="0"/>
        <w:tabs>
          <w:tab w:leader="none" w:pos="268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Exhibit 1</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Joint Filing Agreement among the Reporting Persons, dated as of September 17, 2021.</w:t>
        </w:r>
      </w:hyperlink>
    </w:p>
    <w:p>
      <w:pPr>
        <w:spacing w:after="0" w:line="23" w:lineRule="exact"/>
        <w:rPr>
          <w:sz w:val="20"/>
          <w:szCs w:val="20"/>
          <w:color w:val="auto"/>
        </w:rPr>
      </w:pPr>
    </w:p>
    <w:p>
      <w:pPr>
        <w:ind w:left="2700" w:right="240" w:hanging="1228"/>
        <w:spacing w:after="0" w:line="281" w:lineRule="auto"/>
        <w:tabs>
          <w:tab w:leader="none" w:pos="2680" w:val="left"/>
        </w:tabs>
        <w:rPr>
          <w:rFonts w:ascii="Arial" w:cs="Arial" w:eastAsia="Arial" w:hAnsi="Arial"/>
          <w:sz w:val="16"/>
          <w:szCs w:val="16"/>
          <w:u w:val="single" w:color="auto"/>
          <w:color w:val="0000EE"/>
        </w:rPr>
      </w:pPr>
      <w:hyperlink r:id="rId26">
        <w:r>
          <w:rPr>
            <w:rFonts w:ascii="Arial" w:cs="Arial" w:eastAsia="Arial" w:hAnsi="Arial"/>
            <w:sz w:val="18"/>
            <w:szCs w:val="18"/>
            <w:u w:val="single" w:color="auto"/>
            <w:color w:val="0000EE"/>
          </w:rPr>
          <w:t>Exhibit 2</w:t>
        </w:r>
      </w:hyperlink>
      <w:r>
        <w:rPr>
          <w:rFonts w:ascii="Arial" w:cs="Arial" w:eastAsia="Arial" w:hAnsi="Arial"/>
          <w:sz w:val="18"/>
          <w:szCs w:val="18"/>
          <w:u w:val="single" w:color="auto"/>
          <w:color w:val="0000EE"/>
        </w:rPr>
        <w:tab/>
      </w:r>
      <w:hyperlink r:id="rId26">
        <w:r>
          <w:rPr>
            <w:rFonts w:ascii="Arial" w:cs="Arial" w:eastAsia="Arial" w:hAnsi="Arial"/>
            <w:sz w:val="16"/>
            <w:szCs w:val="16"/>
            <w:u w:val="single" w:color="auto"/>
            <w:color w:val="0000EE"/>
          </w:rPr>
          <w:t>Business Combination Agreement, dated as of March 4, 2021, by and among SOAC, NewCo Sub and DeepGreen</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(incorporated by reference to Exhibit 2.1 to the Current Report on Form 8-K filed by the Issuer on March 4, 2021).</w:t>
        </w:r>
      </w:hyperlink>
    </w:p>
    <w:p>
      <w:pPr>
        <w:spacing w:after="0" w:line="1" w:lineRule="exact"/>
        <w:rPr>
          <w:rFonts w:ascii="Arial" w:cs="Arial" w:eastAsia="Arial" w:hAnsi="Arial"/>
          <w:sz w:val="18"/>
          <w:szCs w:val="18"/>
          <w:u w:val="single" w:color="auto"/>
          <w:color w:val="0000EE"/>
        </w:rPr>
      </w:pPr>
    </w:p>
    <w:p>
      <w:pPr>
        <w:jc w:val="both"/>
        <w:ind w:left="2700" w:right="80" w:hanging="1228"/>
        <w:spacing w:after="0" w:line="250" w:lineRule="auto"/>
        <w:tabs>
          <w:tab w:leader="none" w:pos="2680" w:val="left"/>
        </w:tabs>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Exhibit 3</w:t>
        </w:r>
      </w:hyperlink>
      <w:r>
        <w:rPr>
          <w:rFonts w:ascii="Arial" w:cs="Arial" w:eastAsia="Arial" w:hAnsi="Arial"/>
          <w:sz w:val="18"/>
          <w:szCs w:val="18"/>
          <w:u w:val="single" w:color="auto"/>
          <w:color w:val="0000EE"/>
        </w:rPr>
        <w:tab/>
      </w:r>
      <w:hyperlink r:id="rId27">
        <w:r>
          <w:rPr>
            <w:rFonts w:ascii="Arial" w:cs="Arial" w:eastAsia="Arial" w:hAnsi="Arial"/>
            <w:sz w:val="18"/>
            <w:szCs w:val="18"/>
            <w:u w:val="single" w:color="auto"/>
            <w:color w:val="0000EE"/>
          </w:rPr>
          <w:t>Form of Subscription Agreement for institutional investors, by and between SOAC and the subscriber parties thereto</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(incorporated by reference to Exhibit 10.1 to the Registration Statement on Form S-4/A filed by the Issuer on August</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5, 2021).</w:t>
        </w:r>
      </w:hyperlink>
    </w:p>
    <w:p>
      <w:pPr>
        <w:spacing w:after="0" w:line="1" w:lineRule="exact"/>
        <w:rPr>
          <w:rFonts w:ascii="Arial" w:cs="Arial" w:eastAsia="Arial" w:hAnsi="Arial"/>
          <w:sz w:val="18"/>
          <w:szCs w:val="18"/>
          <w:u w:val="single" w:color="auto"/>
          <w:color w:val="0000EE"/>
        </w:rPr>
      </w:pPr>
    </w:p>
    <w:p>
      <w:pPr>
        <w:ind w:left="2700" w:right="20" w:hanging="1228"/>
        <w:spacing w:after="0" w:line="253" w:lineRule="auto"/>
        <w:tabs>
          <w:tab w:leader="none" w:pos="2680" w:val="left"/>
        </w:tabs>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Exhibit 4</w:t>
        </w:r>
      </w:hyperlink>
      <w:r>
        <w:rPr>
          <w:rFonts w:ascii="Arial" w:cs="Arial" w:eastAsia="Arial" w:hAnsi="Arial"/>
          <w:sz w:val="18"/>
          <w:szCs w:val="18"/>
          <w:u w:val="single" w:color="auto"/>
          <w:color w:val="0000EE"/>
        </w:rPr>
        <w:tab/>
      </w:r>
      <w:hyperlink r:id="rId28">
        <w:r>
          <w:rPr>
            <w:rFonts w:ascii="Arial" w:cs="Arial" w:eastAsia="Arial" w:hAnsi="Arial"/>
            <w:sz w:val="18"/>
            <w:szCs w:val="18"/>
            <w:u w:val="single" w:color="auto"/>
            <w:color w:val="0000EE"/>
          </w:rPr>
          <w:t>Amended and Restated Registration Rights Agreement, by and between SOAC, the Sponsor, the parties listed under</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Sponsor Group Holders on the signature page(s) thereto and the parties listed under DeepGreen Holders on the</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signature page(s) thereto (incorporated by reference to Exhibit 10.5 to the Registration Statement on Form S-4/A filed</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by the Issuer on August 5,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September 21,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Investments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Argentum Credit Virtuti GCV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Zaakvoerder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Stichting Administratiekantoor Aequa Lance Foundation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sets forth the names, business addresses and present principal occupation of each director and executive officer of the Reporting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Allseas Group S.A., Route de Pra de Plan 18, 1618 Chatel Saint Denis, Switzerland.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Name, Citizenship</w:t>
            </w: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09"/>
        </w:trPr>
        <w:tc>
          <w:tcPr>
            <w:tcW w:w="1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Edward Heerema,</w:t>
            </w:r>
          </w:p>
        </w:tc>
        <w:tc>
          <w:tcPr>
            <w:tcW w:w="392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shd w:val="clear" w:color="auto" w:fill="CCEEFF"/>
              </w:rPr>
              <w:t>Switzerland</w:t>
            </w:r>
          </w:p>
        </w:tc>
        <w:tc>
          <w:tcPr>
            <w:tcW w:w="1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shd w:val="clear" w:color="auto" w:fill="CCEEFF"/>
              </w:rPr>
              <w:t>Administrateur President</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Cornelis Kooger,Netherlands</w:t>
            </w:r>
          </w:p>
        </w:tc>
        <w:tc>
          <w:tcPr>
            <w:tcW w:w="5940" w:type="dxa"/>
            <w:vAlign w:val="bottom"/>
          </w:tcPr>
          <w:p>
            <w:pPr>
              <w:jc w:val="center"/>
              <w:spacing w:after="0"/>
              <w:rPr>
                <w:sz w:val="20"/>
                <w:szCs w:val="20"/>
                <w:color w:val="auto"/>
              </w:rPr>
            </w:pPr>
            <w:r>
              <w:rPr>
                <w:rFonts w:ascii="Arial" w:cs="Arial" w:eastAsia="Arial" w:hAnsi="Arial"/>
                <w:sz w:val="18"/>
                <w:szCs w:val="18"/>
                <w:color w:val="auto"/>
                <w:w w:val="87"/>
              </w:rPr>
              <w:t>Manager</w:t>
            </w: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Gaston Baudet, Switzerland</w:t>
            </w:r>
          </w:p>
        </w:tc>
        <w:tc>
          <w:tcPr>
            <w:tcW w:w="5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Administrateur/Director</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Christopher Vanhorn, Belgium</w:t>
            </w:r>
          </w:p>
        </w:tc>
        <w:tc>
          <w:tcPr>
            <w:tcW w:w="5940" w:type="dxa"/>
            <w:vAlign w:val="bottom"/>
          </w:tcPr>
          <w:p>
            <w:pPr>
              <w:jc w:val="center"/>
              <w:spacing w:after="0"/>
              <w:rPr>
                <w:sz w:val="20"/>
                <w:szCs w:val="20"/>
                <w:color w:val="auto"/>
              </w:rPr>
            </w:pPr>
            <w:r>
              <w:rPr>
                <w:rFonts w:ascii="Arial" w:cs="Arial" w:eastAsia="Arial" w:hAnsi="Arial"/>
                <w:sz w:val="18"/>
                <w:szCs w:val="18"/>
                <w:color w:val="auto"/>
                <w:w w:val="87"/>
              </w:rPr>
              <w:t>Manager</w:t>
            </w: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Luke Gillon, Switzerland</w:t>
            </w:r>
          </w:p>
        </w:tc>
        <w:tc>
          <w:tcPr>
            <w:tcW w:w="5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Administrateur Secretary/Director</w:t>
            </w:r>
          </w:p>
        </w:tc>
      </w:tr>
      <w:tr>
        <w:trPr>
          <w:trHeight w:val="432"/>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Allseas Investments S.A</w:t>
            </w:r>
          </w:p>
        </w:tc>
        <w:tc>
          <w:tcPr>
            <w:tcW w:w="594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Allseas Investments S.A., Route de Pra de Plan 18, 1618 Chatel Saint Denis, Switzerland.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Name, Citizenship</w:t>
            </w: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1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Edward Heerema,</w:t>
            </w:r>
          </w:p>
        </w:tc>
        <w:tc>
          <w:tcPr>
            <w:tcW w:w="392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shd w:val="clear" w:color="auto" w:fill="CCEEFF"/>
              </w:rPr>
              <w:t>Switzerland</w:t>
            </w:r>
          </w:p>
        </w:tc>
        <w:tc>
          <w:tcPr>
            <w:tcW w:w="1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shd w:val="clear" w:color="auto" w:fill="CCEEFF"/>
              </w:rPr>
              <w:t>Administrateur President</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Cornelis Kooger, Netherlands</w:t>
            </w:r>
          </w:p>
        </w:tc>
        <w:tc>
          <w:tcPr>
            <w:tcW w:w="5940" w:type="dxa"/>
            <w:vAlign w:val="bottom"/>
          </w:tcPr>
          <w:p>
            <w:pPr>
              <w:jc w:val="center"/>
              <w:spacing w:after="0"/>
              <w:rPr>
                <w:sz w:val="20"/>
                <w:szCs w:val="20"/>
                <w:color w:val="auto"/>
              </w:rPr>
            </w:pPr>
            <w:r>
              <w:rPr>
                <w:rFonts w:ascii="Arial" w:cs="Arial" w:eastAsia="Arial" w:hAnsi="Arial"/>
                <w:sz w:val="18"/>
                <w:szCs w:val="18"/>
                <w:color w:val="auto"/>
                <w:w w:val="87"/>
              </w:rPr>
              <w:t>Manager</w:t>
            </w: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Gaston Baudet, Switzerland</w:t>
            </w:r>
          </w:p>
        </w:tc>
        <w:tc>
          <w:tcPr>
            <w:tcW w:w="5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Administrateur/Director</w:t>
            </w: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Luke Gillon, Switzerland</w:t>
            </w:r>
          </w:p>
        </w:tc>
        <w:tc>
          <w:tcPr>
            <w:tcW w:w="5940" w:type="dxa"/>
            <w:vAlign w:val="bottom"/>
          </w:tcPr>
          <w:p>
            <w:pPr>
              <w:jc w:val="center"/>
              <w:spacing w:after="0"/>
              <w:rPr>
                <w:sz w:val="20"/>
                <w:szCs w:val="20"/>
                <w:color w:val="auto"/>
              </w:rPr>
            </w:pPr>
            <w:r>
              <w:rPr>
                <w:rFonts w:ascii="Arial" w:cs="Arial" w:eastAsia="Arial" w:hAnsi="Arial"/>
                <w:sz w:val="18"/>
                <w:szCs w:val="18"/>
                <w:color w:val="auto"/>
                <w:w w:val="92"/>
              </w:rPr>
              <w:t>Administrateur Secretaire/Director</w:t>
            </w:r>
          </w:p>
        </w:tc>
      </w:tr>
      <w:tr>
        <w:trPr>
          <w:trHeight w:val="418"/>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Argentum Credit Virtuti GCV</w:t>
            </w:r>
          </w:p>
        </w:tc>
        <w:tc>
          <w:tcPr>
            <w:tcW w:w="5940" w:type="dxa"/>
            <w:vAlign w:val="bottom"/>
          </w:tcPr>
          <w:p>
            <w:pPr>
              <w:spacing w:after="0"/>
              <w:rPr>
                <w:sz w:val="24"/>
                <w:szCs w:val="24"/>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Argentum Credit Virtuti GCV, Wiegstraat 21, 2000 Antwerpen, Belgium.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Name, Citizenship</w:t>
            </w: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1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Edward Heerema,</w:t>
            </w:r>
          </w:p>
        </w:tc>
        <w:tc>
          <w:tcPr>
            <w:tcW w:w="392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shd w:val="clear" w:color="auto" w:fill="CCEEFF"/>
              </w:rPr>
              <w:t>Switzerland</w:t>
            </w:r>
          </w:p>
        </w:tc>
        <w:tc>
          <w:tcPr>
            <w:tcW w:w="1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shd w:val="clear" w:color="auto" w:fill="CCEEFF"/>
              </w:rPr>
              <w:t>Zaakvoerder</w:t>
            </w:r>
          </w:p>
        </w:tc>
      </w:tr>
      <w:tr>
        <w:trPr>
          <w:trHeight w:val="432"/>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594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Stichting Administratiekantoor Aequa Lance Foundation, Route de Pra de Plan 18, 1618 Chatel Saint Denis, Switzerland.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Name, Citizenship</w:t>
            </w: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1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Edward Heerema,</w:t>
            </w:r>
          </w:p>
        </w:tc>
        <w:tc>
          <w:tcPr>
            <w:tcW w:w="392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shd w:val="clear" w:color="auto" w:fill="CCEEFF"/>
              </w:rPr>
              <w:t>Switzerland</w:t>
            </w:r>
          </w:p>
        </w:tc>
        <w:tc>
          <w:tcPr>
            <w:tcW w:w="1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shd w:val="clear" w:color="auto" w:fill="CCEEFF"/>
              </w:rPr>
              <w:t>Chairman</w:t>
            </w:r>
          </w:p>
        </w:tc>
      </w:tr>
      <w:tr>
        <w:trPr>
          <w:trHeight w:val="675"/>
        </w:trPr>
        <w:tc>
          <w:tcPr>
            <w:tcW w:w="1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 JOINT FILING AGREEMENT</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any subsequent amendments thereto, and have duly executed this joint filing agreement as of the date set forth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September 17, 2021.</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Allseas Investments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Argentum Credit Virtuti GCV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Zaakvoerder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Stichting Administratiekantoor Aequa Lance Foundation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decimal"/>
      <w:start w:val="14"/>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1"/>
      <w:numFmt w:val="decimal"/>
      <w:start w:val="14"/>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14"/>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1"/>
      <w:numFmt w:val="decimal"/>
      <w:start w:val="1"/>
    </w:lvl>
    <w:lvl w:ilvl="1">
      <w:lvlJc w:val="left"/>
      <w:lvlText w:val="%2"/>
      <w:numFmt w:val="decimal"/>
      <w:start w:val="14"/>
    </w:lvl>
  </w:abstractNum>
  <w:abstractNum w:abstractNumId="12">
    <w:nsid w:val="7FDCC233"/>
    <w:multiLevelType w:val="hybridMultilevel"/>
    <w:lvl w:ilvl="0">
      <w:lvlJc w:val="left"/>
      <w:lvlText w:val="(%1)"/>
      <w:numFmt w:val="decimal"/>
      <w:start w:val="1"/>
    </w:lvl>
    <w:lvl w:ilvl="1">
      <w:lvlJc w:val="left"/>
      <w:lvlText w:val="%2"/>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26" Type="http://schemas.openxmlformats.org/officeDocument/2006/relationships/hyperlink" Target="http://www.sec.gov/Archives/edgar/data/1798562/000121390021013347/ea137001ex2-1_sustainable.htm" TargetMode="External"/><Relationship Id="rId27" Type="http://schemas.openxmlformats.org/officeDocument/2006/relationships/hyperlink" Target="http://www.sec.gov/Archives/edgar/data/1798562/000121390021040480/fs42021a5_sustainableopp.htm#T104" TargetMode="External"/><Relationship Id="rId28" Type="http://schemas.openxmlformats.org/officeDocument/2006/relationships/hyperlink" Target="http://www.sec.gov/Archives/edgar/data/1798562/000121390021040480/fs42021a5_sustainableopp.htm#T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2021-09-21T15:12:15Z</dcterms:created>
  <dcterms:modified xsi:type="dcterms:W3CDTF">2021-09-21T15:12:15Z</dcterms:modified>
</cp:coreProperties>
</file>