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333-260126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1</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OCTOBER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142875</wp:posOffset>
            </wp:positionV>
            <wp:extent cx="1619885" cy="540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264,438,297 Common Shares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9,500,000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This prospectus supplement no. 1 (this “Supplement”) supplements the prospectus dated October 22, 2021 (the “Prospectus”) relating to the issuance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by us of up to an aggregate of 24,500,000 of our common shares, without par value (“Common Shares”), which consists of (i) up to 9,500,000 Common</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Shares that are issuable upon the exercise of private placement warrants (the “Private Placement Warrants”) originally issued in a private placement in</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connection with the initial public offering of our predecessor company, Sustainable Opportunities Acquisition Corp. (“SOAC”), at an exercise price of</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$11.50 per Common Share, and (ii) up to 15,000,000 Common Shares that are issuable upon the exercise of 15,000,000 warrants issued in connection with</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the initial public offering of SOAC (the “Public Warrants,” and together with the Private Placement Warrants, the “Warrants”).</w:t>
      </w:r>
    </w:p>
    <w:p>
      <w:pPr>
        <w:spacing w:after="0" w:line="211" w:lineRule="exact"/>
        <w:rPr>
          <w:sz w:val="24"/>
          <w:szCs w:val="24"/>
          <w:color w:val="auto"/>
        </w:rPr>
      </w:pPr>
    </w:p>
    <w:p>
      <w:pPr>
        <w:ind w:right="200" w:firstLine="432"/>
        <w:spacing w:after="0" w:line="287" w:lineRule="auto"/>
        <w:rPr>
          <w:sz w:val="20"/>
          <w:szCs w:val="20"/>
          <w:color w:val="auto"/>
        </w:rPr>
      </w:pPr>
      <w:r>
        <w:rPr>
          <w:rFonts w:ascii="Arial" w:cs="Arial" w:eastAsia="Arial" w:hAnsi="Arial"/>
          <w:sz w:val="16"/>
          <w:szCs w:val="16"/>
          <w:color w:val="auto"/>
        </w:rPr>
        <w:t>The Prospectus and this Supplement also relate to the resale from time to time by the Selling Securityholders named in the Prospectus (the “Selling Securityholders”) of up to (i) 9,500,000 Private Placement Warrants, (ii) 9,500,000 Common Shares that may be issued upon exercise of the Private Placement Warrants, (iii) 11,578,620 Common Shares that may be issued upon exercise of the Allseas Warrant (as defined in the Prospectus),</w:t>
      </w:r>
    </w:p>
    <w:p>
      <w:pPr>
        <w:spacing w:after="0" w:line="2" w:lineRule="exact"/>
        <w:rPr>
          <w:sz w:val="24"/>
          <w:szCs w:val="24"/>
          <w:color w:val="auto"/>
        </w:rPr>
      </w:pPr>
    </w:p>
    <w:p>
      <w:pPr>
        <w:ind w:right="180" w:firstLine="8"/>
        <w:spacing w:after="0" w:line="281" w:lineRule="auto"/>
        <w:tabs>
          <w:tab w:leader="none" w:pos="305" w:val="left"/>
        </w:tabs>
        <w:numPr>
          <w:ilvl w:val="0"/>
          <w:numId w:val="1"/>
        </w:numPr>
        <w:rPr>
          <w:rFonts w:ascii="Arial" w:cs="Arial" w:eastAsia="Arial" w:hAnsi="Arial"/>
          <w:sz w:val="16"/>
          <w:szCs w:val="16"/>
          <w:color w:val="auto"/>
        </w:rPr>
      </w:pPr>
      <w:r>
        <w:rPr>
          <w:rFonts w:ascii="Arial" w:cs="Arial" w:eastAsia="Arial" w:hAnsi="Arial"/>
          <w:sz w:val="16"/>
          <w:szCs w:val="16"/>
          <w:color w:val="auto"/>
        </w:rPr>
        <w:t>6,759,000 Common Shares held by SOAC’s sponsor, Sustainable Opportunities Holdings LLC (the “Sponsor”), SOAC’s former directors and certain of their transferees (collectively, the “Founder Shares”), (v) 11,030,000 Common Shares issued in the PIPE Financing (as defined in the Prospectus),</w:t>
      </w:r>
    </w:p>
    <w:p>
      <w:pPr>
        <w:spacing w:after="0" w:line="1" w:lineRule="exact"/>
        <w:rPr>
          <w:rFonts w:ascii="Arial" w:cs="Arial" w:eastAsia="Arial" w:hAnsi="Arial"/>
          <w:sz w:val="16"/>
          <w:szCs w:val="16"/>
          <w:color w:val="auto"/>
        </w:rPr>
      </w:pPr>
    </w:p>
    <w:p>
      <w:pPr>
        <w:ind w:right="200" w:firstLine="8"/>
        <w:spacing w:after="0" w:line="253" w:lineRule="auto"/>
        <w:tabs>
          <w:tab w:leader="none" w:pos="305" w:val="left"/>
        </w:tabs>
        <w:numPr>
          <w:ilvl w:val="0"/>
          <w:numId w:val="2"/>
        </w:numPr>
        <w:rPr>
          <w:rFonts w:ascii="Arial" w:cs="Arial" w:eastAsia="Arial" w:hAnsi="Arial"/>
          <w:sz w:val="18"/>
          <w:szCs w:val="18"/>
          <w:color w:val="auto"/>
        </w:rPr>
      </w:pPr>
      <w:r>
        <w:rPr>
          <w:rFonts w:ascii="Arial" w:cs="Arial" w:eastAsia="Arial" w:hAnsi="Arial"/>
          <w:sz w:val="18"/>
          <w:szCs w:val="18"/>
          <w:color w:val="auto"/>
        </w:rPr>
        <w:t>131,178,480 Common Shares issued to certain shareholders of DeepGreen (as defined in the Prospectus) pursuant to the Business Combination Agreement (as defined in the Prospectus), (vii) 77,277,244 Common Shares issuable to certain shareholders of DeepGreen upon the conversion of DeepGreen Earnout Shares (as defined in the Prospectus) pursuant to the Business Combination Agreement, (viii) 1,241,000 Common Shares issuable to the Sponsor and its transferees upon the conversion of Sponsor Earnout Shares (as defined in the Prospects) and (ix) 873,953 Common Shares issued to certain service providers to DeepGreen.</w:t>
      </w:r>
    </w:p>
    <w:p>
      <w:pPr>
        <w:spacing w:after="0" w:line="191" w:lineRule="exact"/>
        <w:rPr>
          <w:sz w:val="24"/>
          <w:szCs w:val="24"/>
          <w:color w:val="auto"/>
        </w:rPr>
      </w:pPr>
    </w:p>
    <w:p>
      <w:pPr>
        <w:ind w:right="80" w:firstLine="432"/>
        <w:spacing w:after="0" w:line="259" w:lineRule="auto"/>
        <w:rPr>
          <w:sz w:val="20"/>
          <w:szCs w:val="20"/>
          <w:color w:val="auto"/>
        </w:rPr>
      </w:pPr>
      <w:r>
        <w:rPr>
          <w:rFonts w:ascii="Arial" w:cs="Arial" w:eastAsia="Arial" w:hAnsi="Arial"/>
          <w:sz w:val="18"/>
          <w:szCs w:val="18"/>
          <w:color w:val="auto"/>
        </w:rPr>
        <w:t>The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the Prospectus.</w:t>
      </w:r>
    </w:p>
    <w:p>
      <w:pPr>
        <w:spacing w:after="0" w:line="187" w:lineRule="exact"/>
        <w:rPr>
          <w:sz w:val="24"/>
          <w:szCs w:val="24"/>
          <w:color w:val="auto"/>
        </w:rPr>
      </w:pPr>
    </w:p>
    <w:p>
      <w:pPr>
        <w:ind w:right="440" w:firstLine="432"/>
        <w:spacing w:after="0" w:line="277" w:lineRule="auto"/>
        <w:rPr>
          <w:sz w:val="20"/>
          <w:szCs w:val="20"/>
          <w:color w:val="auto"/>
        </w:rPr>
      </w:pPr>
      <w:r>
        <w:rPr>
          <w:rFonts w:ascii="Arial" w:cs="Arial" w:eastAsia="Arial" w:hAnsi="Arial"/>
          <w:sz w:val="18"/>
          <w:szCs w:val="18"/>
          <w:color w:val="auto"/>
        </w:rPr>
        <w:t>We will not receive any proceeds from the sale of Common Shares or Private Placement Warrants by the Selling Securityholders or of Common Shares by us pursuant to the Prospectus, except with respect to amounts received by us upon exercise of the Warrants.</w:t>
      </w:r>
    </w:p>
    <w:p>
      <w:pPr>
        <w:spacing w:after="0" w:line="170" w:lineRule="exact"/>
        <w:rPr>
          <w:sz w:val="24"/>
          <w:szCs w:val="24"/>
          <w:color w:val="auto"/>
        </w:rPr>
      </w:pPr>
    </w:p>
    <w:p>
      <w:pPr>
        <w:ind w:right="340" w:firstLine="432"/>
        <w:spacing w:after="0" w:line="277" w:lineRule="auto"/>
        <w:rPr>
          <w:sz w:val="20"/>
          <w:szCs w:val="20"/>
          <w:color w:val="auto"/>
        </w:rPr>
      </w:pPr>
      <w:r>
        <w:rPr>
          <w:rFonts w:ascii="Arial" w:cs="Arial" w:eastAsia="Arial" w:hAnsi="Arial"/>
          <w:sz w:val="18"/>
          <w:szCs w:val="18"/>
          <w:color w:val="auto"/>
        </w:rPr>
        <w:t>However, we will pay the expenses, other than any underwriting discounts and commissions, associated with the sale of securities pursuant to the Prospectus.</w:t>
      </w:r>
    </w:p>
    <w:p>
      <w:pPr>
        <w:spacing w:after="0" w:line="170" w:lineRule="exact"/>
        <w:rPr>
          <w:sz w:val="24"/>
          <w:szCs w:val="24"/>
          <w:color w:val="auto"/>
        </w:rPr>
      </w:pPr>
    </w:p>
    <w:p>
      <w:pPr>
        <w:ind w:right="120" w:firstLine="432"/>
        <w:spacing w:after="0" w:line="257" w:lineRule="auto"/>
        <w:rPr>
          <w:sz w:val="20"/>
          <w:szCs w:val="20"/>
          <w:color w:val="auto"/>
        </w:rPr>
      </w:pPr>
      <w:r>
        <w:rPr>
          <w:rFonts w:ascii="Arial" w:cs="Arial" w:eastAsia="Arial" w:hAnsi="Arial"/>
          <w:sz w:val="18"/>
          <w:szCs w:val="18"/>
          <w:color w:val="auto"/>
        </w:rPr>
        <w:t>We registered certain of the securities for resale pursuant to the Selling Securityholders’ registration rights under certain agreements between us and the Selling Securityholders. Our registration of the securities covered by the Prospectus does not mean that either we or the Selling Securityholders will issue, offer or sell, as applicable, any of the securities. The Selling Securityholders may offer and sell the securities covered by the Prospectus in a number of different ways and at varying prices. We provide more information about how the Selling Securityholders may sell the shares or Warrants in the section entitled “Plan of Distribution” in the Prospectus.</w:t>
      </w:r>
    </w:p>
    <w:p>
      <w:pPr>
        <w:spacing w:after="0" w:line="188" w:lineRule="exact"/>
        <w:rPr>
          <w:sz w:val="24"/>
          <w:szCs w:val="24"/>
          <w:color w:val="auto"/>
        </w:rPr>
      </w:pPr>
    </w:p>
    <w:p>
      <w:pPr>
        <w:ind w:right="180" w:firstLine="405"/>
        <w:spacing w:after="0" w:line="277" w:lineRule="auto"/>
        <w:rPr>
          <w:sz w:val="20"/>
          <w:szCs w:val="20"/>
          <w:color w:val="auto"/>
        </w:rPr>
      </w:pPr>
      <w:r>
        <w:rPr>
          <w:rFonts w:ascii="Arial" w:cs="Arial" w:eastAsia="Arial" w:hAnsi="Arial"/>
          <w:sz w:val="18"/>
          <w:szCs w:val="18"/>
          <w:color w:val="auto"/>
        </w:rPr>
        <w:t>This Supplement incorporates into the Prospectus the information set forth below that we announced on November 11, 2021 regarding our financial statements for the three and six month periods ended March 31, 2021 and June 30, 2021, respectively.</w:t>
      </w:r>
    </w:p>
    <w:p>
      <w:pPr>
        <w:spacing w:after="0" w:line="170" w:lineRule="exact"/>
        <w:rPr>
          <w:sz w:val="24"/>
          <w:szCs w:val="24"/>
          <w:color w:val="auto"/>
        </w:rPr>
      </w:pPr>
    </w:p>
    <w:p>
      <w:pPr>
        <w:ind w:right="20" w:firstLine="432"/>
        <w:spacing w:after="0" w:line="259" w:lineRule="auto"/>
        <w:rPr>
          <w:sz w:val="20"/>
          <w:szCs w:val="20"/>
          <w:color w:val="auto"/>
        </w:rPr>
      </w:pPr>
      <w:r>
        <w:rPr>
          <w:rFonts w:ascii="Arial" w:cs="Arial" w:eastAsia="Arial" w:hAnsi="Arial"/>
          <w:sz w:val="18"/>
          <w:szCs w:val="18"/>
          <w:color w:val="auto"/>
        </w:rPr>
        <w:t>You should read this Supplement in conjunction with the Prospectus, including any supplements and amendments thereto. This Supplement is qualified by reference to the Prospectus except to the extent that the information in this Supplement supersedes the information contained in the Prospectus. This Supplement is not complete without, and may not be delivered or utilized except in connection with, the Prospectus, including any supplements and amendments thereto.</w:t>
      </w:r>
    </w:p>
    <w:p>
      <w:pPr>
        <w:spacing w:after="0" w:line="187" w:lineRule="exact"/>
        <w:rPr>
          <w:sz w:val="24"/>
          <w:szCs w:val="24"/>
          <w:color w:val="auto"/>
        </w:rPr>
      </w:pPr>
    </w:p>
    <w:p>
      <w:pPr>
        <w:ind w:right="60" w:firstLine="432"/>
        <w:spacing w:after="0" w:line="277" w:lineRule="auto"/>
        <w:rPr>
          <w:sz w:val="20"/>
          <w:szCs w:val="20"/>
          <w:color w:val="auto"/>
        </w:rPr>
      </w:pPr>
      <w:r>
        <w:rPr>
          <w:rFonts w:ascii="Arial" w:cs="Arial" w:eastAsia="Arial" w:hAnsi="Arial"/>
          <w:sz w:val="18"/>
          <w:szCs w:val="18"/>
          <w:color w:val="auto"/>
        </w:rPr>
        <w:t>Our Common Shares and Public Warrants are listed on Nasdaq under the symbols “TMC” and “TMCWW,” respectively. On November 11, 2021, the closing price of our Common Shares was $3.13 and the closing price for our Public Warrants was $0.95.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ind w:right="700" w:firstLine="432"/>
        <w:spacing w:after="0" w:line="282" w:lineRule="auto"/>
        <w:rPr>
          <w:sz w:val="20"/>
          <w:szCs w:val="20"/>
          <w:color w:val="auto"/>
        </w:rPr>
      </w:pPr>
      <w:r>
        <w:rPr>
          <w:rFonts w:ascii="Arial" w:cs="Arial" w:eastAsia="Arial" w:hAnsi="Arial"/>
          <w:sz w:val="18"/>
          <w:szCs w:val="18"/>
          <w:b w:val="1"/>
          <w:bCs w:val="1"/>
          <w:color w:val="auto"/>
        </w:rPr>
        <w:t>Investing in our securities involves a high degree of risk. See “Risk Factors” beginning on page 13 of the Prospectus and in the other documents that are incorporated by reference in the Prospectus.</w:t>
      </w:r>
    </w:p>
    <w:p>
      <w:pPr>
        <w:spacing w:after="0" w:line="162" w:lineRule="exact"/>
        <w:rPr>
          <w:sz w:val="24"/>
          <w:szCs w:val="24"/>
          <w:color w:val="auto"/>
        </w:rPr>
      </w:pPr>
    </w:p>
    <w:p>
      <w:pPr>
        <w:ind w:right="380" w:firstLine="432"/>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Supplement is truthful or complete. Any representation to the contrary is a criminal offense.</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November 12, 2021.</w:t>
      </w:r>
    </w:p>
    <w:p>
      <w:pPr>
        <w:sectPr>
          <w:pgSz w:w="11900" w:h="16838" w:orient="portrait"/>
          <w:cols w:equalWidth="0" w:num="1">
            <w:col w:w="11240"/>
          </w:cols>
          <w:pgMar w:left="320" w:top="472" w:right="339" w:bottom="146" w:gutter="0" w:footer="0" w:header="0"/>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right="40" w:firstLine="405"/>
        <w:spacing w:after="0" w:line="263" w:lineRule="auto"/>
        <w:rPr>
          <w:sz w:val="20"/>
          <w:szCs w:val="20"/>
          <w:color w:val="auto"/>
        </w:rPr>
      </w:pPr>
      <w:r>
        <w:rPr>
          <w:rFonts w:ascii="Arial" w:cs="Arial" w:eastAsia="Arial" w:hAnsi="Arial"/>
          <w:sz w:val="18"/>
          <w:szCs w:val="18"/>
          <w:color w:val="auto"/>
        </w:rPr>
        <w:t>On November 11, 2021, we announced that we restated our financial statements as of and for the three month period ended March 31, 2021 and as of and for the six month period ended June 30, 2021 (the “Affected Periods”). The restatement resulted from the following items identified by us while preparing our financial statements as of and for the three and nine months ended September 30, 2021:</w:t>
      </w:r>
    </w:p>
    <w:p>
      <w:pPr>
        <w:spacing w:after="0" w:line="184" w:lineRule="exact"/>
        <w:rPr>
          <w:sz w:val="20"/>
          <w:szCs w:val="20"/>
          <w:color w:val="auto"/>
        </w:rPr>
      </w:pPr>
    </w:p>
    <w:p>
      <w:pPr>
        <w:ind w:left="500" w:hanging="330"/>
        <w:spacing w:after="0" w:line="263"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invoices for exploration expenses received in August 2021 after the end of the quarter ended June 30, 2021 were not appropriately accrued as of June 30, 2021, resulting in a $2.7 million understatement of each of exploration expenses, accounts payable and accrued liabilities as of and for the three and six month period ended June 30, 2021; and</w:t>
      </w:r>
    </w:p>
    <w:p>
      <w:pPr>
        <w:spacing w:after="0" w:line="183" w:lineRule="exact"/>
        <w:rPr>
          <w:rFonts w:ascii="Arial" w:cs="Arial" w:eastAsia="Arial" w:hAnsi="Arial"/>
          <w:sz w:val="18"/>
          <w:szCs w:val="18"/>
          <w:color w:val="auto"/>
        </w:rPr>
      </w:pPr>
    </w:p>
    <w:p>
      <w:pPr>
        <w:ind w:left="500" w:hanging="330"/>
        <w:spacing w:after="0" w:line="301"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expensing of options granted in the first quarter of 2021 under our Short-Term Incentive Plan based on the grantee’s historical start date with us rather than the grant date of the options on March 4, 2021 as required by US Generally Accepted Accounting Principles, resulting in a $1.8 million overstatement of stock-based compensation expenses as of and for the three period ended March 31, 2021, and $0.3 million understatement and $1.5 million overstatement of stock-based compensation expenses as of and for the three and six period ended June 30, 2021, respectively.</w:t>
      </w:r>
    </w:p>
    <w:p>
      <w:pPr>
        <w:spacing w:after="0" w:line="15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Therefore, we are restating our financial statements for the Affected Periods as part of our financial statements as of and for the three and six months ended September 30, 2021 (the “Restatement”).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summarizes the effect of the Restatement on each financial statement line item for each period presented in the Prospectus.</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As at March 31,</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As at 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tcBorders>
              <w:bottom w:val="single" w:sz="8" w:color="CCEEFF"/>
            </w:tcBorders>
          </w:tcPr>
          <w:p>
            <w:pPr>
              <w:spacing w:after="0"/>
              <w:rPr>
                <w:sz w:val="20"/>
                <w:szCs w:val="20"/>
                <w:color w:val="auto"/>
              </w:rPr>
            </w:pPr>
          </w:p>
        </w:tc>
        <w:tc>
          <w:tcPr>
            <w:tcW w:w="42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4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previously reported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4200" w:type="dxa"/>
            <w:vAlign w:val="bottom"/>
          </w:tcPr>
          <w:p>
            <w:pPr>
              <w:ind w:left="40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4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restated</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previously reported</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44,075</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45,869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4200" w:type="dxa"/>
            <w:vAlign w:val="bottom"/>
          </w:tcPr>
          <w:p>
            <w:pPr>
              <w:ind w:left="40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4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restated</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44,075</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4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previously reported</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63,576</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74,069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4200" w:type="dxa"/>
            <w:vAlign w:val="bottom"/>
          </w:tcPr>
          <w:p>
            <w:pPr>
              <w:ind w:left="40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2</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(1,848)</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4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restated</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61,728</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Deficit</w:t>
            </w:r>
          </w:p>
        </w:tc>
        <w:tc>
          <w:tcPr>
            <w:tcW w:w="4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previously reported</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(220,416)</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(246,573)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4200" w:type="dxa"/>
            <w:vAlign w:val="bottom"/>
          </w:tcPr>
          <w:p>
            <w:pPr>
              <w:ind w:left="40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1,848</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4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restated</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(218,568)</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(247,708)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4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previously reported</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25,631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4200" w:type="dxa"/>
            <w:vAlign w:val="bottom"/>
          </w:tcPr>
          <w:p>
            <w:pPr>
              <w:ind w:left="40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4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restated</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25,631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30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increase of $2.7 million in exploration expenses for the six month ended June 30, 2021 to accrue for certain exploration invoices as at June 30, 2021.</w:t>
      </w:r>
    </w:p>
    <w:p>
      <w:pPr>
        <w:spacing w:after="0" w:line="1" w:lineRule="exact"/>
        <w:rPr>
          <w:rFonts w:ascii="Arial" w:cs="Arial" w:eastAsia="Arial" w:hAnsi="Arial"/>
          <w:sz w:val="18"/>
          <w:szCs w:val="18"/>
          <w:color w:val="auto"/>
        </w:rPr>
      </w:pPr>
    </w:p>
    <w:p>
      <w:pPr>
        <w:ind w:left="660" w:right="30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decrease of $1.8 million and $1.5 million of stock-based compensation expenses for the three months ended March 31, 2021 and six months ended June 30,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 w:name="page4"/>
    <w:bookmarkEnd w:id="3"/>
    <w:p>
      <w:pPr>
        <w:jc w:val="center"/>
        <w:ind w:right="-7"/>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Condensed Consolidated Statements of Loss and Comprehensive Loss</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(in thousands of US Dollars, except per share amounts)</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8"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Three Months</w:t>
            </w: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Three Months</w:t>
            </w: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Six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March 31, 2021</w:t>
            </w:r>
          </w:p>
        </w:tc>
        <w:tc>
          <w:tcPr>
            <w:tcW w:w="1580" w:type="dxa"/>
            <w:vAlign w:val="bottom"/>
            <w:gridSpan w:val="2"/>
          </w:tcPr>
          <w:p>
            <w:pPr>
              <w:jc w:val="center"/>
              <w:ind w:right="220"/>
              <w:spacing w:after="0" w:line="270" w:lineRule="exact"/>
              <w:rPr>
                <w:sz w:val="20"/>
                <w:szCs w:val="20"/>
                <w:color w:val="auto"/>
              </w:rPr>
            </w:pPr>
            <w:r>
              <w:rPr>
                <w:rFonts w:ascii="Arial" w:cs="Arial" w:eastAsia="Arial" w:hAnsi="Arial"/>
                <w:sz w:val="18"/>
                <w:szCs w:val="18"/>
                <w:b w:val="1"/>
                <w:bCs w:val="1"/>
                <w:color w:val="auto"/>
                <w:w w:val="87"/>
              </w:rPr>
              <w:t>June 30, 2021</w:t>
            </w:r>
            <w:r>
              <w:rPr>
                <w:rFonts w:ascii="Arial" w:cs="Arial" w:eastAsia="Arial" w:hAnsi="Arial"/>
                <w:sz w:val="29"/>
                <w:szCs w:val="29"/>
                <w:b w:val="1"/>
                <w:bCs w:val="1"/>
                <w:color w:val="auto"/>
                <w:w w:val="87"/>
                <w:vertAlign w:val="superscript"/>
              </w:rPr>
              <w:t>4</w:t>
            </w:r>
          </w:p>
        </w:tc>
        <w:tc>
          <w:tcPr>
            <w:tcW w:w="14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June 30, 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Exploration expenses</w:t>
            </w:r>
          </w:p>
        </w:tc>
        <w:tc>
          <w:tcPr>
            <w:tcW w:w="252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As previously reported</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39,364</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15,372</w:t>
            </w:r>
          </w:p>
        </w:tc>
        <w:tc>
          <w:tcPr>
            <w:tcW w:w="2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2520" w:type="dxa"/>
            <w:vAlign w:val="bottom"/>
          </w:tcPr>
          <w:p>
            <w:pPr>
              <w:ind w:left="30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(1,257)</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2,854</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 restated</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38,107</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18,226</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 previously reported</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17,955</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10,311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2520" w:type="dxa"/>
            <w:vAlign w:val="bottom"/>
          </w:tcPr>
          <w:p>
            <w:pPr>
              <w:ind w:left="30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3</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(591)</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129</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 restated</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17,364</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10,440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 previously reported</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57,319</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25,683</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83,002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2520" w:type="dxa"/>
            <w:vAlign w:val="bottom"/>
          </w:tcPr>
          <w:p>
            <w:pPr>
              <w:ind w:left="30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1,2,3</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(1,848)</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2,983</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 restated</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55,471</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28,666</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7"/>
              </w:rPr>
              <w:t>Loss and comprehensive loss for the period</w:t>
            </w:r>
          </w:p>
        </w:tc>
        <w:tc>
          <w:tcPr>
            <w:tcW w:w="2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 previously reported</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57,558</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26,157</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2520" w:type="dxa"/>
            <w:vAlign w:val="bottom"/>
          </w:tcPr>
          <w:p>
            <w:pPr>
              <w:ind w:left="30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1,2,3</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(1,848)</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2,983</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 restated</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55,710</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29,140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 Basic and diluted</w:t>
            </w:r>
          </w:p>
        </w:tc>
        <w:tc>
          <w:tcPr>
            <w:tcW w:w="2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 previously reported</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2520" w:type="dxa"/>
            <w:vAlign w:val="bottom"/>
          </w:tcPr>
          <w:p>
            <w:pPr>
              <w:ind w:left="30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1,2,3</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 restated</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0.29</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0.15</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8" w:hanging="328"/>
        <w:spacing w:after="0" w:line="258"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decrease of $1.3 million for the three months ended March 31, 2021 and increase of $0.2 million and decrease of $1.1 million for the three and six months ended June 30, 2021, respectively, related to stock-based compensation expense.</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color w:val="auto"/>
        </w:rPr>
        <w:t>Reflects increase of $2.7 million to accrue for certain material exploration invoices for the three and six months ended June 30, 2021.</w:t>
      </w:r>
    </w:p>
    <w:p>
      <w:pPr>
        <w:spacing w:after="0" w:line="20" w:lineRule="exact"/>
        <w:rPr>
          <w:rFonts w:ascii="Arial" w:cs="Arial" w:eastAsia="Arial" w:hAnsi="Arial"/>
          <w:sz w:val="17"/>
          <w:szCs w:val="17"/>
          <w:color w:val="auto"/>
        </w:rPr>
      </w:pPr>
    </w:p>
    <w:p>
      <w:pPr>
        <w:ind w:left="328"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decrease of $0.6 million for the three months ended March 31, 2021 and increase of $0.1 million and decrease of $0.5 million for the three and six months ended June 30, 2021, respectively, related to stock-based compensation expense.</w:t>
      </w: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Results for the three month period ended June 30, 2021 have not been previously reported on a standalone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280035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8"/>
          </w:cols>
          <w:pgMar w:left="652" w:top="904" w:right="679" w:bottom="1440" w:gutter="0" w:footer="0" w:header="0"/>
        </w:sectPr>
      </w:pPr>
    </w:p>
    <w:bookmarkStart w:id="4" w:name="page5"/>
    <w:bookmarkEnd w:id="4"/>
    <w:p>
      <w:pPr>
        <w:jc w:val="center"/>
        <w:ind w:right="-7"/>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8"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As at March 31,</w:t>
            </w:r>
          </w:p>
        </w:tc>
        <w:tc>
          <w:tcPr>
            <w:tcW w:w="14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As at 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tcBorders>
              <w:bottom w:val="single" w:sz="8" w:color="CCEEFF"/>
            </w:tcBorders>
          </w:tcPr>
          <w:p>
            <w:pPr>
              <w:spacing w:after="0"/>
              <w:rPr>
                <w:sz w:val="20"/>
                <w:szCs w:val="20"/>
                <w:color w:val="auto"/>
              </w:rPr>
            </w:pPr>
          </w:p>
        </w:tc>
        <w:tc>
          <w:tcPr>
            <w:tcW w:w="474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4740" w:type="dxa"/>
            <w:vAlign w:val="bottom"/>
            <w:shd w:val="clear" w:color="auto" w:fill="CCEEFF"/>
          </w:tcPr>
          <w:p>
            <w:pPr>
              <w:ind w:left="940"/>
              <w:spacing w:after="0"/>
              <w:rPr>
                <w:sz w:val="20"/>
                <w:szCs w:val="20"/>
                <w:color w:val="auto"/>
              </w:rPr>
            </w:pPr>
            <w:r>
              <w:rPr>
                <w:rFonts w:ascii="Arial" w:cs="Arial" w:eastAsia="Arial" w:hAnsi="Arial"/>
                <w:sz w:val="18"/>
                <w:szCs w:val="18"/>
                <w:color w:val="auto"/>
              </w:rPr>
              <w:t>As previously reported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63,576</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4740" w:type="dxa"/>
            <w:vAlign w:val="bottom"/>
          </w:tcPr>
          <w:p>
            <w:pPr>
              <w:ind w:left="94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(1,848)</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740" w:type="dxa"/>
            <w:vAlign w:val="bottom"/>
            <w:shd w:val="clear" w:color="auto" w:fill="CCEEFF"/>
          </w:tcPr>
          <w:p>
            <w:pPr>
              <w:ind w:left="940"/>
              <w:spacing w:after="0"/>
              <w:rPr>
                <w:sz w:val="20"/>
                <w:szCs w:val="20"/>
                <w:color w:val="auto"/>
              </w:rPr>
            </w:pPr>
            <w:r>
              <w:rPr>
                <w:rFonts w:ascii="Arial" w:cs="Arial" w:eastAsia="Arial" w:hAnsi="Arial"/>
                <w:sz w:val="18"/>
                <w:szCs w:val="18"/>
                <w:color w:val="auto"/>
              </w:rPr>
              <w:t>As restated</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61,728</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Deficit</w:t>
            </w:r>
          </w:p>
        </w:tc>
        <w:tc>
          <w:tcPr>
            <w:tcW w:w="4740" w:type="dxa"/>
            <w:vAlign w:val="bottom"/>
            <w:shd w:val="clear" w:color="auto" w:fill="CCEEFF"/>
          </w:tcPr>
          <w:p>
            <w:pPr>
              <w:ind w:left="940"/>
              <w:spacing w:after="0"/>
              <w:rPr>
                <w:sz w:val="20"/>
                <w:szCs w:val="20"/>
                <w:color w:val="auto"/>
              </w:rPr>
            </w:pPr>
            <w:r>
              <w:rPr>
                <w:rFonts w:ascii="Arial" w:cs="Arial" w:eastAsia="Arial" w:hAnsi="Arial"/>
                <w:sz w:val="18"/>
                <w:szCs w:val="18"/>
                <w:color w:val="auto"/>
              </w:rPr>
              <w:t>As previously reported</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(220,416)</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(246,573)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4740" w:type="dxa"/>
            <w:vAlign w:val="bottom"/>
          </w:tcPr>
          <w:p>
            <w:pPr>
              <w:ind w:left="94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1,848</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740" w:type="dxa"/>
            <w:vAlign w:val="bottom"/>
            <w:shd w:val="clear" w:color="auto" w:fill="CCEEFF"/>
          </w:tcPr>
          <w:p>
            <w:pPr>
              <w:ind w:left="940"/>
              <w:spacing w:after="0"/>
              <w:rPr>
                <w:sz w:val="20"/>
                <w:szCs w:val="20"/>
                <w:color w:val="auto"/>
              </w:rPr>
            </w:pPr>
            <w:r>
              <w:rPr>
                <w:rFonts w:ascii="Arial" w:cs="Arial" w:eastAsia="Arial" w:hAnsi="Arial"/>
                <w:sz w:val="18"/>
                <w:szCs w:val="18"/>
                <w:color w:val="auto"/>
              </w:rPr>
              <w:t>As restated</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(218,568)</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(247,708)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4740" w:type="dxa"/>
            <w:vAlign w:val="bottom"/>
            <w:shd w:val="clear" w:color="auto" w:fill="CCEEFF"/>
          </w:tcPr>
          <w:p>
            <w:pPr>
              <w:ind w:left="940"/>
              <w:spacing w:after="0"/>
              <w:rPr>
                <w:sz w:val="20"/>
                <w:szCs w:val="20"/>
                <w:color w:val="auto"/>
              </w:rPr>
            </w:pPr>
            <w:r>
              <w:rPr>
                <w:rFonts w:ascii="Arial" w:cs="Arial" w:eastAsia="Arial" w:hAnsi="Arial"/>
                <w:sz w:val="18"/>
                <w:szCs w:val="18"/>
                <w:color w:val="auto"/>
              </w:rPr>
              <w:t>As previously reported</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25,631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4740" w:type="dxa"/>
            <w:vAlign w:val="bottom"/>
          </w:tcPr>
          <w:p>
            <w:pPr>
              <w:ind w:left="94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740" w:type="dxa"/>
            <w:vAlign w:val="bottom"/>
            <w:shd w:val="clear" w:color="auto" w:fill="CCEEFF"/>
          </w:tcPr>
          <w:p>
            <w:pPr>
              <w:ind w:left="940"/>
              <w:spacing w:after="0"/>
              <w:rPr>
                <w:sz w:val="20"/>
                <w:szCs w:val="20"/>
                <w:color w:val="auto"/>
              </w:rPr>
            </w:pPr>
            <w:r>
              <w:rPr>
                <w:rFonts w:ascii="Arial" w:cs="Arial" w:eastAsia="Arial" w:hAnsi="Arial"/>
                <w:sz w:val="18"/>
                <w:szCs w:val="18"/>
                <w:color w:val="auto"/>
              </w:rPr>
              <w:t>As restated</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25,631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8" w:hanging="328"/>
        <w:spacing w:after="0" w:line="258"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decrease of $1.8 million for the three months ended March 31, 2021 and decrease of $1.5 million for the six months ended June 30, 2021 related to stock-based compensation expense.</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increase of $2.7 million to accrue for certain exploration invoices for the six months ended June 30, 2021.</w:t>
      </w:r>
    </w:p>
    <w:p>
      <w:pPr>
        <w:spacing w:after="0" w:line="207"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8"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Three Months</w:t>
            </w: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Six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March 31, 2021</w:t>
            </w:r>
          </w:p>
        </w:tc>
        <w:tc>
          <w:tcPr>
            <w:tcW w:w="14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June 30, 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41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As previously reported</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(57,558)</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4160" w:type="dxa"/>
            <w:vAlign w:val="bottom"/>
          </w:tcPr>
          <w:p>
            <w:pPr>
              <w:ind w:left="36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1,848</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restated</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(55,710)</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41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As previously</w:t>
            </w: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6"/>
              </w:rPr>
              <w:t>Expenses settled in share-based payments</w:t>
            </w:r>
          </w:p>
        </w:tc>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reported</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45,059</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60,128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4160" w:type="dxa"/>
            <w:vAlign w:val="bottom"/>
          </w:tcPr>
          <w:p>
            <w:pPr>
              <w:ind w:left="36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(1,848)</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restated</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43,211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previously reported</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2,114</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4160" w:type="dxa"/>
            <w:vAlign w:val="bottom"/>
          </w:tcPr>
          <w:p>
            <w:pPr>
              <w:ind w:left="36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restated</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2,114</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8" w:hanging="328"/>
        <w:spacing w:after="0" w:line="258"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decrease of $1.8 million for the three months ended March 31, 2021 and decrease of $1.5 million for the six months ended June 30, 2021 related to stock-based compensation expense.</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increase of $2.7 million to accrue for certain exploration invoices for the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280035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8"/>
          </w:cols>
          <w:pgMar w:left="652" w:top="904" w:right="679" w:bottom="1440" w:gutter="0" w:footer="0" w:header="0"/>
        </w:sectPr>
      </w:pPr>
    </w:p>
    <w:bookmarkStart w:id="5" w:name="page6"/>
    <w:bookmarkEnd w:id="5"/>
    <w:p>
      <w:pPr>
        <w:ind w:firstLine="405"/>
        <w:spacing w:after="0" w:line="277" w:lineRule="auto"/>
        <w:rPr>
          <w:sz w:val="20"/>
          <w:szCs w:val="20"/>
          <w:color w:val="auto"/>
        </w:rPr>
      </w:pPr>
      <w:r>
        <w:rPr>
          <w:rFonts w:ascii="Arial" w:cs="Arial" w:eastAsia="Arial" w:hAnsi="Arial"/>
          <w:sz w:val="18"/>
          <w:szCs w:val="18"/>
          <w:color w:val="auto"/>
        </w:rPr>
        <w:t>The following summarizes the effect of the Restatement on each line item set forth below in the unaudited pro forma condensed combined financial information for each period presented in the Prospectus.</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Condensed Consolidated Balance Sheets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As of June 30, 2021</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(Amounts in U.S. dollars)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DeepGreen</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Pro Forma</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Combined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SOAC</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Metals</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Transaction</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Pro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(Historical)</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(Historical)</w:t>
            </w: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Adjustments</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Forma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23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As previously reported</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7,289</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2360" w:type="dxa"/>
            <w:vAlign w:val="bottom"/>
          </w:tcPr>
          <w:p>
            <w:pPr>
              <w:ind w:left="36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2,663</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restated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7,289</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11,696</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previously reported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53,544</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45,869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(55,614)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43,799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2360" w:type="dxa"/>
            <w:vAlign w:val="bottom"/>
          </w:tcPr>
          <w:p>
            <w:pPr>
              <w:ind w:left="36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2,663</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restated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53,544</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48,532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(55,614)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2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previously reported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74,069</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21,600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95,669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2360" w:type="dxa"/>
            <w:vAlign w:val="bottom"/>
          </w:tcPr>
          <w:p>
            <w:pPr>
              <w:ind w:left="36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2</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(1,528)</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restated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72,541</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21,600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Deficit</w:t>
            </w:r>
          </w:p>
        </w:tc>
        <w:tc>
          <w:tcPr>
            <w:tcW w:w="2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previously reported</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(53,118)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(246,573)</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43,759</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(255,932)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2360" w:type="dxa"/>
            <w:vAlign w:val="bottom"/>
          </w:tcPr>
          <w:p>
            <w:pPr>
              <w:ind w:left="36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(1,135)</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restated</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(53,118)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(247,708)</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43,759</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(257,067)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previously reported</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(53,117)</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15,731</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159,639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122,253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2360" w:type="dxa"/>
            <w:vAlign w:val="bottom"/>
          </w:tcPr>
          <w:p>
            <w:pPr>
              <w:ind w:left="36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(2,663)</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restated</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(53,117)</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13,068</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159,639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119,590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16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increase of $2.7 million in exploration expenses for the six months ended June 30, 2021 to accrue for exploration invoices as at June 30, 2021.</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decrease of $1.5 million of stock-based compensation expenses for the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8" w:right="519" w:bottom="1440" w:gutter="0" w:footer="0" w:header="0"/>
        </w:sectPr>
      </w:pPr>
    </w:p>
    <w:bookmarkStart w:id="6" w:name="page7"/>
    <w:bookmarkEnd w:id="6"/>
    <w:p>
      <w:pPr>
        <w:jc w:val="center"/>
        <w:ind w:right="-7"/>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For the six months ended June 30, 2021</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(Amounts in U.S. dollars, except per share data)</w:t>
      </w:r>
    </w:p>
    <w:p>
      <w:pPr>
        <w:spacing w:after="0" w:line="207" w:lineRule="exact"/>
        <w:rPr>
          <w:sz w:val="20"/>
          <w:szCs w:val="20"/>
          <w:color w:val="auto"/>
        </w:rPr>
      </w:pPr>
    </w:p>
    <w:tbl>
      <w:tblPr>
        <w:tblLayout w:type="fixed"/>
        <w:tblInd w:w="8"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DeepGreen</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Pro Forma</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Combined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SOAC</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Metals</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Transaction</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Pro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(Historical)</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(Historical)</w:t>
            </w: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Adjustments</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Forma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Exploration expenses</w:t>
            </w:r>
          </w:p>
        </w:tc>
        <w:tc>
          <w:tcPr>
            <w:tcW w:w="22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As previously reported</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54,736</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220" w:type="dxa"/>
            <w:vAlign w:val="bottom"/>
          </w:tcPr>
          <w:p>
            <w:pPr>
              <w:ind w:left="22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1,597</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restated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56,333</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previously reported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6,490</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28,266</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34,756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220" w:type="dxa"/>
            <w:vAlign w:val="bottom"/>
          </w:tcPr>
          <w:p>
            <w:pPr>
              <w:ind w:left="22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3</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(462)</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restated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6,490</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27,804</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previously reported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6,490</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83,002</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91,835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220" w:type="dxa"/>
            <w:vAlign w:val="bottom"/>
          </w:tcPr>
          <w:p>
            <w:pPr>
              <w:ind w:left="22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1,2,3</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1,135</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restated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6,490</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84,137</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(Income) loss for the period</w:t>
            </w: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previously reported</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(14,694)</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83,715</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13,841</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82,862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220" w:type="dxa"/>
            <w:vAlign w:val="bottom"/>
          </w:tcPr>
          <w:p>
            <w:pPr>
              <w:ind w:left="22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1,2,3</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1,135</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restated</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(14,694)</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84,850</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13,841</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w w:val="96"/>
              </w:rPr>
              <w:t>Comprehensive (income) loss for the period</w:t>
            </w: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previously reported</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(14,694)</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83,715</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13,841</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82,862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220" w:type="dxa"/>
            <w:vAlign w:val="bottom"/>
          </w:tcPr>
          <w:p>
            <w:pPr>
              <w:ind w:left="22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1,2,3</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1,135</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restated</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(14,694)</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84,850</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13,841</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w w:val="98"/>
              </w:rPr>
              <w:t>(Income) loss per share - Basic and diluted</w:t>
            </w: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previously reported</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0.43</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220" w:type="dxa"/>
            <w:vAlign w:val="bottom"/>
          </w:tcPr>
          <w:p>
            <w:pPr>
              <w:ind w:left="22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1,2,3</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restated</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0.44</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decrease of $1.1 million for the six months ended June 30, 2021 related to stock-based compensation expense.</w:t>
      </w:r>
    </w:p>
    <w:p>
      <w:pPr>
        <w:spacing w:after="0" w:line="23"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increase of $2.7 million to accrue for certain exploration invoices for the six months ended June 30, 2021.</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decrease of $0.5 million for the six months ended June 30, 2021 related to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568"/>
      </w:cols>
      <w:pgMar w:left="652" w:top="904"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4"/>
    </w:lvl>
  </w:abstractNum>
  <w:abstractNum w:abstractNumId="1">
    <w:nsid w:val="3D1B58BA"/>
    <w:multiLevelType w:val="hybridMultilevel"/>
    <w:lvl w:ilvl="0">
      <w:lvlJc w:val="left"/>
      <w:lvlText w:val="(%1)"/>
      <w:numFmt w:val="lowerRoman"/>
      <w:start w:val="6"/>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2021-11-12T10:23:47Z</dcterms:created>
  <dcterms:modified xsi:type="dcterms:W3CDTF">2021-11-12T10:23:47Z</dcterms:modified>
</cp:coreProperties>
</file>