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914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9143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O'Sullivan Anthony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540"/>
        <w:spacing w:after="0" w:line="395" w:lineRule="auto"/>
        <w:rPr>
          <w:sz w:val="20"/>
          <w:szCs w:val="20"/>
          <w:color w:val="auto"/>
        </w:rPr>
      </w:pPr>
      <w:r>
        <w:rPr>
          <w:rFonts w:ascii="Arial" w:cs="Arial" w:eastAsia="Arial" w:hAnsi="Arial"/>
          <w:sz w:val="16"/>
          <w:szCs w:val="16"/>
          <w:color w:val="0000FF"/>
        </w:rPr>
        <w:t>C/O TMC THE METALS COMPANY INC. 595 HOWE STREET, 10TH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VANCOUVER</w:t>
            </w:r>
          </w:p>
        </w:tc>
        <w:tc>
          <w:tcPr>
            <w:tcW w:w="900" w:type="dxa"/>
            <w:vAlign w:val="bottom"/>
          </w:tcPr>
          <w:p>
            <w:pPr>
              <w:ind w:left="80"/>
              <w:spacing w:after="0"/>
              <w:rPr>
                <w:sz w:val="20"/>
                <w:szCs w:val="20"/>
                <w:color w:val="auto"/>
              </w:rPr>
            </w:pPr>
            <w:r>
              <w:rPr>
                <w:rFonts w:ascii="Arial" w:cs="Arial" w:eastAsia="Arial" w:hAnsi="Arial"/>
                <w:sz w:val="17"/>
                <w:szCs w:val="17"/>
                <w:color w:val="0000FF"/>
              </w:rPr>
              <w:t>A1</w:t>
            </w:r>
          </w:p>
        </w:tc>
        <w:tc>
          <w:tcPr>
            <w:tcW w:w="1600" w:type="dxa"/>
            <w:vAlign w:val="bottom"/>
          </w:tcPr>
          <w:p>
            <w:pPr>
              <w:ind w:left="400"/>
              <w:spacing w:after="0"/>
              <w:rPr>
                <w:sz w:val="20"/>
                <w:szCs w:val="20"/>
                <w:color w:val="auto"/>
              </w:rPr>
            </w:pPr>
            <w:r>
              <w:rPr>
                <w:rFonts w:ascii="Arial" w:cs="Arial" w:eastAsia="Arial" w:hAnsi="Arial"/>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TMC the metals Co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94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Chief Development Officer</w:t>
            </w:r>
          </w:p>
        </w:tc>
        <w:tc>
          <w:tcPr>
            <w:tcW w:w="0" w:type="dxa"/>
            <w:vAlign w:val="bottom"/>
          </w:tcPr>
          <w:p>
            <w:pPr>
              <w:spacing w:after="0"/>
              <w:rPr>
                <w:sz w:val="1"/>
                <w:szCs w:val="1"/>
                <w:color w:val="auto"/>
              </w:rPr>
            </w:pPr>
          </w:p>
        </w:tc>
      </w:tr>
      <w:tr>
        <w:trPr>
          <w:trHeight w:val="220"/>
        </w:trPr>
        <w:tc>
          <w:tcPr>
            <w:tcW w:w="2140" w:type="dxa"/>
            <w:vAlign w:val="bottom"/>
            <w:gridSpan w:val="3"/>
          </w:tcPr>
          <w:p>
            <w:pPr>
              <w:ind w:left="80"/>
              <w:spacing w:after="0"/>
              <w:rPr>
                <w:sz w:val="20"/>
                <w:szCs w:val="20"/>
                <w:color w:val="auto"/>
              </w:rPr>
            </w:pPr>
            <w:r>
              <w:rPr>
                <w:rFonts w:ascii="Arial" w:cs="Arial" w:eastAsia="Arial" w:hAnsi="Arial"/>
                <w:sz w:val="17"/>
                <w:szCs w:val="17"/>
                <w:color w:val="0000FF"/>
              </w:rPr>
              <w:t>11/22/2021</w:t>
            </w:r>
          </w:p>
        </w:tc>
        <w:tc>
          <w:tcPr>
            <w:tcW w:w="1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1720" w:type="dxa"/>
            <w:vAlign w:val="bottom"/>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4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42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Shares</w:t>
            </w:r>
          </w:p>
        </w:tc>
        <w:tc>
          <w:tcPr>
            <w:tcW w:w="172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11/22/2021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5"/>
              </w:rPr>
              <w:t>312,500</w:t>
            </w:r>
            <w:r>
              <w:rPr>
                <w:rFonts w:ascii="Arial" w:cs="Arial" w:eastAsia="Arial" w:hAnsi="Arial"/>
                <w:sz w:val="22"/>
                <w:szCs w:val="22"/>
                <w:color w:val="008000"/>
                <w:w w:val="95"/>
                <w:vertAlign w:val="superscript"/>
              </w:rPr>
              <w:t>(1)</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312,500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JOZEM</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Pty Ltd.,</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Trustee of</w:t>
            </w:r>
          </w:p>
        </w:tc>
        <w:tc>
          <w:tcPr>
            <w:tcW w:w="0" w:type="dxa"/>
            <w:vAlign w:val="bottom"/>
          </w:tcPr>
          <w:p>
            <w:pPr>
              <w:spacing w:after="0"/>
              <w:rPr>
                <w:sz w:val="1"/>
                <w:szCs w:val="1"/>
                <w:color w:val="auto"/>
              </w:rPr>
            </w:pPr>
          </w:p>
        </w:tc>
      </w:tr>
      <w:tr>
        <w:trPr>
          <w:trHeight w:val="227"/>
        </w:trPr>
        <w:tc>
          <w:tcPr>
            <w:tcW w:w="242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ind w:left="300"/>
              <w:spacing w:after="0"/>
              <w:rPr>
                <w:sz w:val="20"/>
                <w:szCs w:val="20"/>
                <w:color w:val="auto"/>
              </w:rPr>
            </w:pPr>
            <w:r>
              <w:rPr>
                <w:rFonts w:ascii="Arial" w:cs="Arial" w:eastAsia="Arial" w:hAnsi="Arial"/>
                <w:sz w:val="17"/>
                <w:szCs w:val="17"/>
                <w:color w:val="0000FF"/>
              </w:rPr>
              <w:t>575,110</w:t>
            </w:r>
          </w:p>
        </w:tc>
        <w:tc>
          <w:tcPr>
            <w:tcW w:w="920" w:type="dxa"/>
            <w:vAlign w:val="bottom"/>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bl>
    <w:p>
      <w:pPr>
        <w:ind w:left="10140"/>
        <w:spacing w:after="0"/>
        <w:rPr>
          <w:sz w:val="20"/>
          <w:szCs w:val="20"/>
          <w:color w:val="auto"/>
        </w:rPr>
      </w:pPr>
      <w:r>
        <w:rPr>
          <w:rFonts w:ascii="Arial" w:cs="Arial" w:eastAsia="Arial" w:hAnsi="Arial"/>
          <w:sz w:val="17"/>
          <w:szCs w:val="17"/>
          <w:color w:val="0000FF"/>
        </w:rPr>
        <w:t>O'Sullivan</w:t>
      </w:r>
    </w:p>
    <w:p>
      <w:pPr>
        <w:spacing w:after="0" w:line="11" w:lineRule="exact"/>
        <w:rPr>
          <w:sz w:val="24"/>
          <w:szCs w:val="24"/>
          <w:color w:val="auto"/>
        </w:rPr>
      </w:pPr>
    </w:p>
    <w:p>
      <w:pPr>
        <w:ind w:left="10140"/>
        <w:spacing w:after="0"/>
        <w:rPr>
          <w:sz w:val="20"/>
          <w:szCs w:val="20"/>
          <w:color w:val="auto"/>
        </w:rPr>
      </w:pPr>
      <w:r>
        <w:rPr>
          <w:rFonts w:ascii="Arial" w:cs="Arial" w:eastAsia="Arial" w:hAnsi="Arial"/>
          <w:sz w:val="17"/>
          <w:szCs w:val="17"/>
          <w:color w:val="0000FF"/>
        </w:rPr>
        <w:t>Family</w:t>
      </w:r>
    </w:p>
    <w:p>
      <w:pPr>
        <w:spacing w:after="0" w:line="18" w:lineRule="exact"/>
        <w:rPr>
          <w:sz w:val="24"/>
          <w:szCs w:val="24"/>
          <w:color w:val="auto"/>
        </w:rPr>
      </w:pPr>
    </w:p>
    <w:p>
      <w:pPr>
        <w:ind w:left="10140"/>
        <w:spacing w:after="0"/>
        <w:rPr>
          <w:sz w:val="20"/>
          <w:szCs w:val="20"/>
          <w:color w:val="auto"/>
        </w:rPr>
      </w:pPr>
      <w:r>
        <w:rPr>
          <w:rFonts w:ascii="Arial" w:cs="Arial" w:eastAsia="Arial" w:hAnsi="Arial"/>
          <w:sz w:val="17"/>
          <w:szCs w:val="17"/>
          <w:color w:val="0000FF"/>
        </w:rPr>
        <w:t>Trust No</w:t>
      </w:r>
    </w:p>
    <w:p>
      <w:pPr>
        <w:ind w:left="10140"/>
        <w:spacing w:after="0" w:line="185" w:lineRule="auto"/>
        <w:rPr>
          <w:sz w:val="20"/>
          <w:szCs w:val="20"/>
          <w:color w:val="auto"/>
        </w:rPr>
      </w:pPr>
      <w:r>
        <w:rPr>
          <w:rFonts w:ascii="Arial" w:cs="Arial" w:eastAsia="Arial" w:hAnsi="Arial"/>
          <w:sz w:val="26"/>
          <w:szCs w:val="26"/>
          <w:color w:val="0000FF"/>
          <w:vertAlign w:val="subscript"/>
        </w:rPr>
        <w:t>1</w:t>
      </w:r>
      <w:r>
        <w:rPr>
          <w:rFonts w:ascii="Arial" w:cs="Arial" w:eastAsia="Arial" w:hAnsi="Arial"/>
          <w:sz w:val="10"/>
          <w:szCs w:val="10"/>
          <w:color w:val="008000"/>
        </w:rPr>
        <w:t>(2)</w:t>
      </w:r>
    </w:p>
    <w:p>
      <w:pPr>
        <w:spacing w:after="0" w:line="143"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restricted stock units ("RSUs"). Each RSU represents the right to receive one common share upon vesting. The RSUs vest in three equal annual installments beginning on November 22, 2022 and ending on November 22, 2024, subject to continued service to the Company through the applicable vesting dates.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Anthony O'Sullivan is the sole director of JOZEM Pty Ltd. which is the trustee of The O'Sullivan Family Trust No. 1.</w:t>
      </w:r>
    </w:p>
    <w:p>
      <w:pPr>
        <w:ind w:left="6580"/>
        <w:spacing w:after="0" w:line="186" w:lineRule="auto"/>
        <w:rPr>
          <w:sz w:val="20"/>
          <w:szCs w:val="20"/>
          <w:color w:val="auto"/>
        </w:rPr>
      </w:pPr>
      <w:r>
        <w:rPr>
          <w:rFonts w:ascii="Arial" w:cs="Arial" w:eastAsia="Arial" w:hAnsi="Arial"/>
          <w:sz w:val="17"/>
          <w:szCs w:val="17"/>
          <w:color w:val="0000FF"/>
        </w:rPr>
        <w:t xml:space="preserve">/s/ Jeffrey Cohan, Attorney-in- </w:t>
      </w:r>
      <w:r>
        <w:rPr>
          <w:rFonts w:ascii="Arial" w:cs="Arial" w:eastAsia="Arial" w:hAnsi="Arial"/>
          <w:sz w:val="34"/>
          <w:szCs w:val="34"/>
          <w:color w:val="0000FF"/>
          <w:vertAlign w:val="subscript"/>
        </w:rPr>
        <w:t>11/24/2021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74198"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2021-11-24T18:22:21Z</dcterms:created>
  <dcterms:modified xsi:type="dcterms:W3CDTF">2021-11-24T18:22:21Z</dcterms:modified>
</cp:coreProperties>
</file>