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Gedeon Christelle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500"/>
              <w:spacing w:after="0"/>
              <w:rPr>
                <w:sz w:val="20"/>
                <w:szCs w:val="20"/>
                <w:color w:val="auto"/>
              </w:rPr>
            </w:pPr>
            <w:r>
              <w:rPr>
                <w:rFonts w:ascii="Arial" w:cs="Arial" w:eastAsia="Arial" w:hAnsi="Arial"/>
                <w:sz w:val="17"/>
                <w:szCs w:val="17"/>
                <w:color w:val="0000FF"/>
              </w:rPr>
              <w:t>CLO and Corp Sec</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109,375</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109,375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156,250</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265,625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vest in four equal annual installments beginning on November 22, 2022 and ending on November 22, 2025, subject to continued service to the Company through the applicable vesting dates.</w:t>
      </w:r>
    </w:p>
    <w:p>
      <w:pPr>
        <w:spacing w:after="0" w:line="15" w:lineRule="exact"/>
        <w:rPr>
          <w:rFonts w:ascii="Arial" w:cs="Arial" w:eastAsia="Arial" w:hAnsi="Arial"/>
          <w:sz w:val="13"/>
          <w:szCs w:val="13"/>
          <w:color w:val="008000"/>
        </w:rPr>
      </w:pPr>
    </w:p>
    <w:p>
      <w:pPr>
        <w:ind w:left="40" w:right="66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RSUs. Each RSU represents the right to receive one common share upon vesting. The RSUs vest in three equal annual installments beginning on November 22, 2022 and ending on November 22, 2024, subject to continued service to the Company through the applicable vesting dates.</w:t>
      </w:r>
    </w:p>
    <w:p>
      <w:pPr>
        <w:ind w:left="6580"/>
        <w:spacing w:after="0" w:line="182"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6836"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2021-11-24T18:22:20Z</dcterms:created>
  <dcterms:modified xsi:type="dcterms:W3CDTF">2021-11-24T18:22:20Z</dcterms:modified>
</cp:coreProperties>
</file>