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Schultz,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22,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80" w:hanging="318"/>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ind w:left="20"/>
        <w:spacing w:after="0"/>
        <w:tabs>
          <w:tab w:leader="none" w:pos="550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100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100580"/>
                    </a:xfrm>
                    <a:prstGeom prst="rect">
                      <a:avLst/>
                    </a:prstGeom>
                    <a:noFill/>
                  </pic:spPr>
                </pic:pic>
              </a:graphicData>
            </a:graphic>
          </wp:anchor>
        </w:drawing>
      </w:r>
    </w:p>
    <w:p>
      <w:pPr>
        <w:spacing w:after="0" w:line="272" w:lineRule="exact"/>
        <w:rPr>
          <w:sz w:val="20"/>
          <w:szCs w:val="20"/>
          <w:color w:val="auto"/>
        </w:rPr>
      </w:pPr>
    </w:p>
    <w:p>
      <w:pPr>
        <w:ind w:left="640" w:right="7900" w:hanging="547"/>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103" w:lineRule="exact"/>
        <w:rPr>
          <w:sz w:val="20"/>
          <w:szCs w:val="20"/>
          <w:color w:val="auto"/>
        </w:rPr>
      </w:pPr>
    </w:p>
    <w:p>
      <w:pPr>
        <w:ind w:left="640" w:hanging="54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43" w:lineRule="exact"/>
        <w:rPr>
          <w:sz w:val="20"/>
          <w:szCs w:val="20"/>
          <w:color w:val="auto"/>
        </w:rPr>
      </w:pPr>
    </w:p>
    <w:p>
      <w:pPr>
        <w:ind w:left="640" w:hanging="54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8" w:lineRule="exact"/>
        <w:rPr>
          <w:sz w:val="20"/>
          <w:szCs w:val="20"/>
          <w:color w:val="auto"/>
        </w:rPr>
      </w:pPr>
    </w:p>
    <w:p>
      <w:pPr>
        <w:ind w:left="640" w:right="8980" w:hanging="547"/>
        <w:spacing w:after="0" w:line="27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640" w:hanging="54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ind w:left="640" w:right="6920" w:hanging="547"/>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700" w:type="dxa"/>
            <w:vAlign w:val="bottom"/>
            <w:tcBorders>
              <w:top w:val="single" w:sz="8" w:color="auto"/>
              <w:left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9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5"/>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60"/>
              <w:spacing w:after="0" w:line="321" w:lineRule="exact"/>
              <w:rPr>
                <w:sz w:val="20"/>
                <w:szCs w:val="20"/>
                <w:color w:val="auto"/>
              </w:rPr>
            </w:pPr>
            <w:r>
              <w:rPr>
                <w:rFonts w:ascii="Arial" w:cs="Arial" w:eastAsia="Arial" w:hAnsi="Arial"/>
                <w:sz w:val="18"/>
                <w:szCs w:val="18"/>
                <w:color w:val="auto"/>
              </w:rPr>
              <w:t>18,337,296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w:t>
            </w:r>
          </w:p>
        </w:tc>
        <w:tc>
          <w:tcPr>
            <w:tcW w:w="8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5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00" w:type="dxa"/>
            <w:vAlign w:val="bottom"/>
            <w:tcBorders>
              <w:left w:val="single" w:sz="8" w:color="auto"/>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9</w:t>
            </w:r>
          </w:p>
        </w:tc>
        <w:tc>
          <w:tcPr>
            <w:tcW w:w="8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93"/>
        </w:trPr>
        <w:tc>
          <w:tcPr>
            <w:tcW w:w="170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6"/>
                <w:szCs w:val="16"/>
                <w:color w:val="auto"/>
              </w:rPr>
            </w:pPr>
          </w:p>
        </w:tc>
        <w:tc>
          <w:tcPr>
            <w:tcW w:w="89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20"/>
                <w:szCs w:val="20"/>
                <w:color w:val="auto"/>
              </w:rPr>
            </w:pPr>
          </w:p>
        </w:tc>
        <w:tc>
          <w:tcPr>
            <w:tcW w:w="8980" w:type="dxa"/>
            <w:vAlign w:val="bottom"/>
            <w:tcBorders>
              <w:right w:val="single" w:sz="8" w:color="auto"/>
            </w:tcBorders>
          </w:tcPr>
          <w:p>
            <w:pPr>
              <w:ind w:left="60"/>
              <w:spacing w:after="0" w:line="239" w:lineRule="exact"/>
              <w:rPr>
                <w:sz w:val="20"/>
                <w:szCs w:val="20"/>
                <w:color w:val="auto"/>
              </w:rPr>
            </w:pPr>
            <w:r>
              <w:rPr>
                <w:rFonts w:ascii="Arial" w:cs="Arial" w:eastAsia="Arial" w:hAnsi="Arial"/>
                <w:sz w:val="17"/>
                <w:szCs w:val="17"/>
                <w:color w:val="auto"/>
              </w:rPr>
              <w:t>18,337,296 shares of Common Shares</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95"/>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560" w:type="dxa"/>
            <w:vAlign w:val="bottom"/>
            <w:tcBorders>
              <w:bottom w:val="single" w:sz="8" w:color="auto"/>
              <w:right w:val="single" w:sz="8" w:color="auto"/>
            </w:tcBorders>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tcBorders>
              <w:left w:val="single" w:sz="8" w:color="auto"/>
              <w:right w:val="single" w:sz="8" w:color="auto"/>
            </w:tcBorders>
            <w:vMerge w:val="continue"/>
          </w:tcPr>
          <w:p>
            <w:pPr>
              <w:spacing w:after="0"/>
              <w:rPr>
                <w:sz w:val="10"/>
                <w:szCs w:val="10"/>
                <w:color w:val="auto"/>
              </w:rPr>
            </w:pPr>
          </w:p>
        </w:tc>
        <w:tc>
          <w:tcPr>
            <w:tcW w:w="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8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7"/>
        </w:trPr>
        <w:tc>
          <w:tcPr>
            <w:tcW w:w="1700" w:type="dxa"/>
            <w:vAlign w:val="bottom"/>
            <w:tcBorders>
              <w:left w:val="single" w:sz="8" w:color="auto"/>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08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60" w:lineRule="exact"/>
        <w:rPr>
          <w:sz w:val="20"/>
          <w:szCs w:val="20"/>
          <w:color w:val="auto"/>
        </w:rPr>
      </w:pPr>
    </w:p>
    <w:p>
      <w:pPr>
        <w:ind w:left="640" w:right="4040" w:hanging="547"/>
        <w:spacing w:after="0" w:line="277" w:lineRule="auto"/>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18,337,296 shares of Common Shares</w:t>
      </w:r>
    </w:p>
    <w:p>
      <w:pPr>
        <w:spacing w:after="0" w:line="102" w:lineRule="exact"/>
        <w:rPr>
          <w:rFonts w:ascii="Arial" w:cs="Arial" w:eastAsia="Arial" w:hAnsi="Arial"/>
          <w:sz w:val="18"/>
          <w:szCs w:val="18"/>
          <w:color w:val="auto"/>
        </w:rPr>
      </w:pPr>
    </w:p>
    <w:p>
      <w:pPr>
        <w:ind w:left="640" w:hanging="547"/>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5" w:lineRule="exact"/>
        <w:rPr>
          <w:rFonts w:ascii="Arial" w:cs="Arial" w:eastAsia="Arial" w:hAnsi="Arial"/>
          <w:sz w:val="18"/>
          <w:szCs w:val="18"/>
          <w:color w:val="auto"/>
        </w:rPr>
      </w:pPr>
    </w:p>
    <w:p>
      <w:pPr>
        <w:ind w:left="640" w:hanging="547"/>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8.1% of the Common Shares</w:t>
      </w:r>
      <w:r>
        <w:rPr>
          <w:rFonts w:ascii="Arial" w:cs="Arial" w:eastAsia="Arial" w:hAnsi="Arial"/>
          <w:sz w:val="29"/>
          <w:szCs w:val="29"/>
          <w:color w:val="auto"/>
          <w:vertAlign w:val="superscript"/>
        </w:rPr>
        <w:t>2</w:t>
      </w:r>
    </w:p>
    <w:p>
      <w:pPr>
        <w:spacing w:after="0" w:line="57" w:lineRule="exact"/>
        <w:rPr>
          <w:rFonts w:ascii="Arial" w:cs="Arial" w:eastAsia="Arial" w:hAnsi="Arial"/>
          <w:sz w:val="18"/>
          <w:szCs w:val="18"/>
          <w:color w:val="auto"/>
        </w:rPr>
      </w:pPr>
    </w:p>
    <w:p>
      <w:pPr>
        <w:ind w:left="640" w:right="8080" w:hanging="547"/>
        <w:spacing w:after="0" w:line="277" w:lineRule="auto"/>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51" w:lineRule="exact"/>
        <w:rPr>
          <w:rFonts w:ascii="Arial" w:cs="Arial" w:eastAsia="Arial" w:hAnsi="Arial"/>
          <w:sz w:val="18"/>
          <w:szCs w:val="18"/>
          <w:color w:val="auto"/>
        </w:rPr>
      </w:pPr>
    </w:p>
    <w:p>
      <w:pPr>
        <w:ind w:left="380" w:hanging="324"/>
        <w:spacing w:after="0" w:line="220"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Consists of (i) 14,259,252 Common Shares and (ii) 4,078,044 Common Shares underlying options that are exercisable within 60 days of November 12, 2021. Does not include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90" w:lineRule="exact"/>
        <w:rPr>
          <w:sz w:val="20"/>
          <w:szCs w:val="20"/>
          <w:color w:val="auto"/>
        </w:rPr>
      </w:pPr>
    </w:p>
    <w:p>
      <w:pPr>
        <w:ind w:left="400" w:hanging="325"/>
        <w:spacing w:after="0"/>
        <w:tabs>
          <w:tab w:leader="none" w:pos="4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Calculated based on 225,259,277 Common Shares issued and outstanding as of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3 of 5</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2 TO SCHEDULE 13D</w:t>
      </w:r>
    </w:p>
    <w:p>
      <w:pPr>
        <w:sectPr>
          <w:pgSz w:w="11900" w:h="16838" w:orient="portrait"/>
          <w:cols w:equalWidth="0" w:num="1">
            <w:col w:w="11240"/>
          </w:cols>
          <w:pgMar w:left="320" w:top="908" w:right="339" w:bottom="1440" w:gutter="0" w:footer="0" w:header="0"/>
          <w:type w:val="continuous"/>
        </w:sectPr>
      </w:pP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Amendment No. 2 to Schedule 13D (this “</w:t>
      </w:r>
      <w:r>
        <w:rPr>
          <w:rFonts w:ascii="Arial" w:cs="Arial" w:eastAsia="Arial" w:hAnsi="Arial"/>
          <w:sz w:val="18"/>
          <w:szCs w:val="18"/>
          <w:u w:val="single" w:color="auto"/>
          <w:color w:val="auto"/>
        </w:rPr>
        <w:t>Amendment</w:t>
      </w:r>
      <w:r>
        <w:rPr>
          <w:rFonts w:ascii="Arial" w:cs="Arial" w:eastAsia="Arial" w:hAnsi="Arial"/>
          <w:sz w:val="18"/>
          <w:szCs w:val="18"/>
          <w:color w:val="auto"/>
        </w:rPr>
        <w: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(the “Schedule 13D”), by Gerard Barron (the “Reporting Person”).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22, 2021, the Reporting Person acquired 15,500 Common Shares at a price of $3.22 per Common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regarding the Business Combination set forth in Item 3 above is incorporated into this Item 4 by reference. As reported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Amendment, 14,209,752 Common Shares beneficially owned by the Reporting Person were received in connection with the Business Combination, 34,000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beneficially owned by the Reporting Person were subsequently acquired by the Reporting Person on September 30, 2021 and 15,500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Shares beneficially owned by the Reporting Person were subsequently acquired by the Reporting Person on November 22, 2021.</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Reporting Person holds (i) 14,259,252 Common Shares and (ii) 4,078,044 Common Shares underlying options that are exercisable within 60 days of November 12, 2021. The Reporting Person also holds 2,275,334 Common Shares underlying options that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 Excludes the Special Shares held by the Reporting Person.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4 of 5</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TMC held by them during the lock-up periods described therein and</w:t>
      </w:r>
    </w:p>
    <w:p>
      <w:pPr>
        <w:spacing w:after="0" w:line="1" w:lineRule="exact"/>
        <w:rPr>
          <w:sz w:val="20"/>
          <w:szCs w:val="20"/>
          <w:color w:val="auto"/>
        </w:rPr>
      </w:pPr>
    </w:p>
    <w:p>
      <w:pPr>
        <w:jc w:val="both"/>
        <w:ind w:firstLine="8"/>
        <w:spacing w:after="0" w:line="271" w:lineRule="auto"/>
        <w:tabs>
          <w:tab w:leader="none" w:pos="2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TMC will pay certain expenses relating to such registrations and indemnify the registration rights holders against (or make contributions in respect of) certain liabilities.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5 of 5</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w:t>
      </w:r>
    </w:p>
    <w:p>
      <w:pPr>
        <w:sectPr>
          <w:pgSz w:w="11900" w:h="16838" w:orient="portrait"/>
          <w:cols w:equalWidth="0" w:num="1">
            <w:col w:w="11240"/>
          </w:cols>
          <w:pgMar w:left="320" w:top="908" w:right="339" w:bottom="1440" w:gutter="0" w:footer="0" w:header="0"/>
          <w:type w:val="continuous"/>
        </w:sect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p>
      <w:pPr>
        <w:ind w:left="340"/>
        <w:spacing w:after="0"/>
        <w:tabs>
          <w:tab w:leader="none" w:pos="5600" w:val="left"/>
        </w:tabs>
        <w:rPr>
          <w:sz w:val="20"/>
          <w:szCs w:val="20"/>
          <w:color w:val="auto"/>
        </w:rPr>
      </w:pPr>
      <w:r>
        <w:rPr>
          <w:rFonts w:ascii="Arial" w:cs="Arial" w:eastAsia="Arial" w:hAnsi="Arial"/>
          <w:sz w:val="18"/>
          <w:szCs w:val="18"/>
          <w:color w:val="auto"/>
        </w:rPr>
        <w:t>Dated: November 29, 2021</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6"/>
      <w:numFmt w:val="bullet"/>
      <w:start w:val="1"/>
    </w:lvl>
  </w:abstractNum>
  <w:abstractNum w:abstractNumId="7">
    <w:nsid w:val="5BD062C2"/>
    <w:multiLevelType w:val="hybridMultilevel"/>
    <w:lvl w:ilvl="0">
      <w:lvlJc w:val="left"/>
      <w:lvlText w:val="%1"/>
      <w:numFmt w:val="decimal"/>
      <w:start w:val="1"/>
    </w:lvl>
    <w:lvl w:ilvl="1">
      <w:lvlJc w:val="left"/>
      <w:lvlText w:val="%2"/>
      <w:numFmt w:val="decimal"/>
      <w:start w:val="1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2021-11-30T05:17:21Z</dcterms:created>
  <dcterms:modified xsi:type="dcterms:W3CDTF">2021-11-30T05:17:21Z</dcterms:modified>
</cp:coreProperties>
</file>