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860" w:right="4780" w:firstLine="229"/>
        <w:spacing w:after="0" w:line="548" w:lineRule="auto"/>
        <w:tabs>
          <w:tab w:leader="none" w:pos="5232" w:val="left"/>
        </w:tabs>
        <w:numPr>
          <w:ilvl w:val="0"/>
          <w:numId w:val="1"/>
        </w:numPr>
        <w:rPr>
          <w:rFonts w:ascii="Arial" w:cs="Arial" w:eastAsia="Arial" w:hAnsi="Arial"/>
          <w:sz w:val="16"/>
          <w:szCs w:val="16"/>
          <w:color w:val="auto"/>
        </w:rPr>
      </w:pPr>
      <w:r>
        <w:rPr>
          <w:rFonts w:ascii="Arial" w:cs="Arial" w:eastAsia="Arial" w:hAnsi="Arial"/>
          <w:sz w:val="16"/>
          <w:szCs w:val="16"/>
          <w:color w:val="auto"/>
        </w:rPr>
        <w:t>240.13d-2(a) (Amendment No. 1)*</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TMC Common Shares without par value</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87261Y 106</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Cornelis Kooger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Route de Pra de Plan 18, Case Postale 411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1618 Châtel-Saint-Denis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+41 21 948 3500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9, 2021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ind w:right="700" w:firstLine="8"/>
        <w:spacing w:after="0" w:line="308" w:lineRule="auto"/>
        <w:tabs>
          <w:tab w:leader="none" w:pos="71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34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77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477510"/>
                    </a:xfrm>
                    <a:prstGeom prst="rect">
                      <a:avLst/>
                    </a:prstGeom>
                    <a:noFill/>
                  </pic:spPr>
                </pic:pic>
              </a:graphicData>
            </a:graphic>
          </wp:anchor>
        </w:drawing>
      </w:r>
    </w:p>
    <w:p>
      <w:pPr>
        <w:spacing w:after="0" w:line="246" w:lineRule="exact"/>
        <w:rPr>
          <w:sz w:val="20"/>
          <w:szCs w:val="20"/>
          <w:color w:val="auto"/>
        </w:rPr>
      </w:pPr>
    </w:p>
    <w:p>
      <w:pPr>
        <w:ind w:left="1380" w:hanging="715"/>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b w:val="1"/>
          <w:bCs w:val="1"/>
          <w:color w:val="auto"/>
        </w:rPr>
        <w:t>Allseas Group S.A.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3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8720" w:type="dxa"/>
            <w:vAlign w:val="bottom"/>
            <w:tcBorders>
              <w:top w:val="single" w:sz="8" w:color="auto"/>
            </w:tcBorders>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Borders>
              <w:top w:val="single" w:sz="8" w:color="auto"/>
            </w:tcBorders>
          </w:tcPr>
          <w:p>
            <w:pPr>
              <w:jc w:val="right"/>
              <w:ind w:right="43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4"/>
              </w:rPr>
              <w:t>SEC USE ONLY</w:t>
            </w:r>
          </w:p>
        </w:tc>
        <w:tc>
          <w:tcPr>
            <w:tcW w:w="7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gridSpan w:val="2"/>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SOURCE OF FUNDS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OO</w:t>
            </w: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1120" w:type="dxa"/>
            <w:vAlign w:val="bottom"/>
          </w:tcPr>
          <w:p>
            <w:pPr>
              <w:jc w:val="right"/>
              <w:ind w:right="75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380" w:type="dxa"/>
            <w:vAlign w:val="bottom"/>
            <w:tcBorders>
              <w:bottom w:val="single" w:sz="8" w:color="auto"/>
            </w:tcBorders>
            <w:gridSpan w:val="2"/>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Switzerland</w:t>
            </w: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6"/>
                <w:szCs w:val="16"/>
                <w:color w:val="auto"/>
              </w:rPr>
            </w:pPr>
          </w:p>
        </w:tc>
        <w:tc>
          <w:tcPr>
            <w:tcW w:w="73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OWNED BY</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5"/>
                <w:szCs w:val="15"/>
                <w:color w:val="auto"/>
              </w:rPr>
            </w:pPr>
          </w:p>
        </w:tc>
        <w:tc>
          <w:tcPr>
            <w:tcW w:w="7320" w:type="dxa"/>
            <w:vAlign w:val="bottom"/>
          </w:tcPr>
          <w:p>
            <w:pPr>
              <w:ind w:left="40"/>
              <w:spacing w:after="0" w:line="182" w:lineRule="exact"/>
              <w:rPr>
                <w:sz w:val="20"/>
                <w:szCs w:val="20"/>
                <w:color w:val="auto"/>
              </w:rPr>
            </w:pPr>
            <w:r>
              <w:rPr>
                <w:rFonts w:ascii="Arial" w:cs="Arial" w:eastAsia="Arial" w:hAnsi="Arial"/>
                <w:sz w:val="18"/>
                <w:szCs w:val="18"/>
                <w:color w:val="auto"/>
              </w:rPr>
              <w:t>SHARED VOTING POWER</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EACH</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3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32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16,151,648</w:t>
            </w:r>
            <w:r>
              <w:rPr>
                <w:rFonts w:ascii="Arial" w:cs="Arial" w:eastAsia="Arial" w:hAnsi="Arial"/>
                <w:sz w:val="26"/>
                <w:szCs w:val="26"/>
                <w:b w:val="1"/>
                <w:bCs w:val="1"/>
                <w:color w:val="auto"/>
                <w:vertAlign w:val="superscript"/>
              </w:rPr>
              <w:t>(1)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3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340" w:type="dxa"/>
            <w:vAlign w:val="bottom"/>
            <w:vMerge w:val="continue"/>
          </w:tcPr>
          <w:p>
            <w:pPr>
              <w:spacing w:after="0"/>
              <w:rPr>
                <w:sz w:val="13"/>
                <w:szCs w:val="13"/>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3"/>
                <w:szCs w:val="13"/>
                <w:color w:val="auto"/>
              </w:rPr>
            </w:pPr>
          </w:p>
        </w:tc>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73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73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16,151,648</w:t>
            </w:r>
            <w:r>
              <w:rPr>
                <w:rFonts w:ascii="Arial" w:cs="Arial" w:eastAsia="Arial" w:hAnsi="Arial"/>
                <w:sz w:val="29"/>
                <w:szCs w:val="29"/>
                <w:b w:val="1"/>
                <w:bCs w:val="1"/>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340" w:type="dxa"/>
            <w:vAlign w:val="bottom"/>
          </w:tcPr>
          <w:p>
            <w:pPr>
              <w:ind w:left="120"/>
              <w:spacing w:after="0"/>
              <w:rPr>
                <w:sz w:val="20"/>
                <w:szCs w:val="20"/>
                <w:color w:val="auto"/>
              </w:rPr>
            </w:pPr>
            <w:r>
              <w:rPr>
                <w:rFonts w:ascii="Arial" w:cs="Arial" w:eastAsia="Arial" w:hAnsi="Arial"/>
                <w:sz w:val="18"/>
                <w:szCs w:val="18"/>
                <w:color w:val="auto"/>
              </w:rPr>
              <w:t>AGGREGATE</w:t>
            </w:r>
          </w:p>
        </w:tc>
        <w:tc>
          <w:tcPr>
            <w:tcW w:w="738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16,151,648</w:t>
            </w:r>
            <w:r>
              <w:rPr>
                <w:rFonts w:ascii="Arial" w:cs="Arial" w:eastAsia="Arial" w:hAnsi="Arial"/>
                <w:sz w:val="29"/>
                <w:szCs w:val="29"/>
                <w:b w:val="1"/>
                <w:bCs w:val="1"/>
                <w:color w:val="auto"/>
                <w:w w:val="89"/>
                <w:vertAlign w:val="superscript"/>
              </w:rPr>
              <w:t>(1)</w:t>
            </w: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20" w:type="dxa"/>
            <w:vAlign w:val="bottom"/>
          </w:tcPr>
          <w:p>
            <w:pPr>
              <w:jc w:val="right"/>
              <w:ind w:right="75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tcPr>
          <w:p>
            <w:pPr>
              <w:spacing w:after="0"/>
              <w:rPr>
                <w:sz w:val="12"/>
                <w:szCs w:val="12"/>
                <w:color w:val="auto"/>
              </w:rPr>
            </w:pPr>
          </w:p>
        </w:tc>
        <w:tc>
          <w:tcPr>
            <w:tcW w:w="8720" w:type="dxa"/>
            <w:vAlign w:val="bottom"/>
            <w:tcBorders>
              <w:bottom w:val="single" w:sz="8" w:color="auto"/>
            </w:tcBorders>
            <w:gridSpan w:val="3"/>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1340" w:type="dxa"/>
            <w:vAlign w:val="bottom"/>
          </w:tcPr>
          <w:p>
            <w:pPr>
              <w:ind w:left="280"/>
              <w:spacing w:after="0"/>
              <w:rPr>
                <w:sz w:val="20"/>
                <w:szCs w:val="20"/>
                <w:color w:val="auto"/>
              </w:rPr>
            </w:pPr>
            <w:r>
              <w:rPr>
                <w:rFonts w:ascii="Arial" w:cs="Arial" w:eastAsia="Arial" w:hAnsi="Arial"/>
                <w:sz w:val="18"/>
                <w:szCs w:val="18"/>
                <w:b w:val="1"/>
                <w:bCs w:val="1"/>
                <w:color w:val="auto"/>
              </w:rPr>
              <w:t>7.2</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500" w:hanging="880"/>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77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477510"/>
                    </a:xfrm>
                    <a:prstGeom prst="rect">
                      <a:avLst/>
                    </a:prstGeom>
                    <a:noFill/>
                  </pic:spPr>
                </pic:pic>
              </a:graphicData>
            </a:graphic>
          </wp:anchor>
        </w:drawing>
      </w:r>
    </w:p>
    <w:p>
      <w:pPr>
        <w:spacing w:after="0" w:line="246" w:lineRule="exact"/>
        <w:rPr>
          <w:sz w:val="20"/>
          <w:szCs w:val="20"/>
          <w:color w:val="auto"/>
        </w:rPr>
      </w:pPr>
    </w:p>
    <w:p>
      <w:pPr>
        <w:ind w:left="1380" w:hanging="71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b w:val="1"/>
          <w:bCs w:val="1"/>
          <w:color w:val="auto"/>
        </w:rPr>
        <w:t>Allseas Investments S.A.</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Pr>
          <w:p>
            <w:pPr>
              <w:ind w:left="20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63"/>
        </w:trPr>
        <w:tc>
          <w:tcPr>
            <w:tcW w:w="1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4"/>
              </w:rPr>
              <w:t>SEC USE ONLY</w:t>
            </w:r>
          </w:p>
        </w:tc>
        <w:tc>
          <w:tcPr>
            <w:tcW w:w="7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gridSpan w:val="2"/>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SOURCE OF FUNDS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OO</w:t>
            </w: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11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380" w:type="dxa"/>
            <w:vAlign w:val="bottom"/>
            <w:tcBorders>
              <w:bottom w:val="single" w:sz="8" w:color="auto"/>
            </w:tcBorders>
            <w:gridSpan w:val="2"/>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Switzerland</w:t>
            </w: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6"/>
                <w:szCs w:val="16"/>
                <w:color w:val="auto"/>
              </w:rPr>
            </w:pPr>
          </w:p>
        </w:tc>
        <w:tc>
          <w:tcPr>
            <w:tcW w:w="73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OWNED BY</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5"/>
                <w:szCs w:val="15"/>
                <w:color w:val="auto"/>
              </w:rPr>
            </w:pPr>
          </w:p>
        </w:tc>
        <w:tc>
          <w:tcPr>
            <w:tcW w:w="7320" w:type="dxa"/>
            <w:vAlign w:val="bottom"/>
          </w:tcPr>
          <w:p>
            <w:pPr>
              <w:ind w:left="40"/>
              <w:spacing w:after="0" w:line="182" w:lineRule="exact"/>
              <w:rPr>
                <w:sz w:val="20"/>
                <w:szCs w:val="20"/>
                <w:color w:val="auto"/>
              </w:rPr>
            </w:pPr>
            <w:r>
              <w:rPr>
                <w:rFonts w:ascii="Arial" w:cs="Arial" w:eastAsia="Arial" w:hAnsi="Arial"/>
                <w:sz w:val="18"/>
                <w:szCs w:val="18"/>
                <w:color w:val="auto"/>
              </w:rPr>
              <w:t>SHARED VOTING POWER</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EACH</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3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32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16,151,648</w:t>
            </w:r>
            <w:r>
              <w:rPr>
                <w:rFonts w:ascii="Arial" w:cs="Arial" w:eastAsia="Arial" w:hAnsi="Arial"/>
                <w:sz w:val="26"/>
                <w:szCs w:val="26"/>
                <w:b w:val="1"/>
                <w:bCs w:val="1"/>
                <w:color w:val="auto"/>
                <w:vertAlign w:val="superscript"/>
              </w:rPr>
              <w:t>(1)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3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340" w:type="dxa"/>
            <w:vAlign w:val="bottom"/>
            <w:vMerge w:val="continue"/>
          </w:tcPr>
          <w:p>
            <w:pPr>
              <w:spacing w:after="0"/>
              <w:rPr>
                <w:sz w:val="13"/>
                <w:szCs w:val="13"/>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3"/>
                <w:szCs w:val="13"/>
                <w:color w:val="auto"/>
              </w:rPr>
            </w:pPr>
          </w:p>
        </w:tc>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73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73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16,151,648</w:t>
            </w:r>
            <w:r>
              <w:rPr>
                <w:rFonts w:ascii="Arial" w:cs="Arial" w:eastAsia="Arial" w:hAnsi="Arial"/>
                <w:sz w:val="29"/>
                <w:szCs w:val="29"/>
                <w:b w:val="1"/>
                <w:bCs w:val="1"/>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340" w:type="dxa"/>
            <w:vAlign w:val="bottom"/>
          </w:tcPr>
          <w:p>
            <w:pPr>
              <w:ind w:left="120"/>
              <w:spacing w:after="0"/>
              <w:rPr>
                <w:sz w:val="20"/>
                <w:szCs w:val="20"/>
                <w:color w:val="auto"/>
              </w:rPr>
            </w:pPr>
            <w:r>
              <w:rPr>
                <w:rFonts w:ascii="Arial" w:cs="Arial" w:eastAsia="Arial" w:hAnsi="Arial"/>
                <w:sz w:val="18"/>
                <w:szCs w:val="18"/>
                <w:color w:val="auto"/>
              </w:rPr>
              <w:t>AGGREGATE</w:t>
            </w:r>
          </w:p>
        </w:tc>
        <w:tc>
          <w:tcPr>
            <w:tcW w:w="738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16,151,648</w:t>
            </w:r>
            <w:r>
              <w:rPr>
                <w:rFonts w:ascii="Arial" w:cs="Arial" w:eastAsia="Arial" w:hAnsi="Arial"/>
                <w:sz w:val="29"/>
                <w:szCs w:val="29"/>
                <w:b w:val="1"/>
                <w:bCs w:val="1"/>
                <w:color w:val="auto"/>
                <w:w w:val="89"/>
                <w:vertAlign w:val="superscript"/>
              </w:rPr>
              <w:t>(1)</w:t>
            </w: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20" w:type="dxa"/>
            <w:vAlign w:val="bottom"/>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1340" w:type="dxa"/>
            <w:vAlign w:val="bottom"/>
            <w:tcBorders>
              <w:bottom w:val="single" w:sz="8" w:color="auto"/>
            </w:tcBorders>
          </w:tcPr>
          <w:p>
            <w:pPr>
              <w:spacing w:after="0"/>
              <w:rPr>
                <w:sz w:val="17"/>
                <w:szCs w:val="17"/>
                <w:color w:val="auto"/>
              </w:rPr>
            </w:pPr>
          </w:p>
        </w:tc>
        <w:tc>
          <w:tcPr>
            <w:tcW w:w="8720" w:type="dxa"/>
            <w:vAlign w:val="bottom"/>
            <w:tcBorders>
              <w:bottom w:val="single" w:sz="8" w:color="auto"/>
            </w:tcBorders>
            <w:gridSpan w:val="3"/>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1340" w:type="dxa"/>
            <w:vAlign w:val="bottom"/>
          </w:tcPr>
          <w:p>
            <w:pPr>
              <w:ind w:left="280"/>
              <w:spacing w:after="0"/>
              <w:rPr>
                <w:sz w:val="20"/>
                <w:szCs w:val="20"/>
                <w:color w:val="auto"/>
              </w:rPr>
            </w:pPr>
            <w:r>
              <w:rPr>
                <w:rFonts w:ascii="Arial" w:cs="Arial" w:eastAsia="Arial" w:hAnsi="Arial"/>
                <w:sz w:val="18"/>
                <w:szCs w:val="18"/>
                <w:b w:val="1"/>
                <w:bCs w:val="1"/>
                <w:color w:val="auto"/>
              </w:rPr>
              <w:t>7.2</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500" w:hanging="880"/>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77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477510"/>
                    </a:xfrm>
                    <a:prstGeom prst="rect">
                      <a:avLst/>
                    </a:prstGeom>
                    <a:noFill/>
                  </pic:spPr>
                </pic:pic>
              </a:graphicData>
            </a:graphic>
          </wp:anchor>
        </w:drawing>
      </w:r>
    </w:p>
    <w:p>
      <w:pPr>
        <w:spacing w:after="0" w:line="246" w:lineRule="exact"/>
        <w:rPr>
          <w:sz w:val="20"/>
          <w:szCs w:val="20"/>
          <w:color w:val="auto"/>
        </w:rPr>
      </w:pPr>
    </w:p>
    <w:p>
      <w:pPr>
        <w:ind w:left="1380" w:hanging="71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b w:val="1"/>
          <w:bCs w:val="1"/>
          <w:color w:val="auto"/>
        </w:rPr>
        <w:t>Argentum Credit Virtuti GCV</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Pr>
          <w:p>
            <w:pPr>
              <w:ind w:left="20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63"/>
        </w:trPr>
        <w:tc>
          <w:tcPr>
            <w:tcW w:w="1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4"/>
              </w:rPr>
              <w:t>SEC USE ONLY</w:t>
            </w:r>
          </w:p>
        </w:tc>
        <w:tc>
          <w:tcPr>
            <w:tcW w:w="7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gridSpan w:val="2"/>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SOURCE OF FUNDS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OO</w:t>
            </w: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11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380" w:type="dxa"/>
            <w:vAlign w:val="bottom"/>
            <w:tcBorders>
              <w:bottom w:val="single" w:sz="8" w:color="auto"/>
            </w:tcBorders>
            <w:gridSpan w:val="2"/>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Belgium</w:t>
            </w: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6"/>
                <w:szCs w:val="16"/>
                <w:color w:val="auto"/>
              </w:rPr>
            </w:pPr>
          </w:p>
        </w:tc>
        <w:tc>
          <w:tcPr>
            <w:tcW w:w="73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OWNED BY</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5"/>
                <w:szCs w:val="15"/>
                <w:color w:val="auto"/>
              </w:rPr>
            </w:pPr>
          </w:p>
        </w:tc>
        <w:tc>
          <w:tcPr>
            <w:tcW w:w="7320" w:type="dxa"/>
            <w:vAlign w:val="bottom"/>
          </w:tcPr>
          <w:p>
            <w:pPr>
              <w:ind w:left="40"/>
              <w:spacing w:after="0" w:line="182" w:lineRule="exact"/>
              <w:rPr>
                <w:sz w:val="20"/>
                <w:szCs w:val="20"/>
                <w:color w:val="auto"/>
              </w:rPr>
            </w:pPr>
            <w:r>
              <w:rPr>
                <w:rFonts w:ascii="Arial" w:cs="Arial" w:eastAsia="Arial" w:hAnsi="Arial"/>
                <w:sz w:val="18"/>
                <w:szCs w:val="18"/>
                <w:color w:val="auto"/>
              </w:rPr>
              <w:t>SHARED VOTING POWER</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EACH</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3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32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17,151,648</w:t>
            </w:r>
            <w:r>
              <w:rPr>
                <w:rFonts w:ascii="Arial" w:cs="Arial" w:eastAsia="Arial" w:hAnsi="Arial"/>
                <w:sz w:val="26"/>
                <w:szCs w:val="26"/>
                <w:b w:val="1"/>
                <w:bCs w:val="1"/>
                <w:color w:val="auto"/>
                <w:vertAlign w:val="superscript"/>
              </w:rPr>
              <w:t>(3)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3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340" w:type="dxa"/>
            <w:vAlign w:val="bottom"/>
            <w:vMerge w:val="continue"/>
          </w:tcPr>
          <w:p>
            <w:pPr>
              <w:spacing w:after="0"/>
              <w:rPr>
                <w:sz w:val="13"/>
                <w:szCs w:val="13"/>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3"/>
                <w:szCs w:val="13"/>
                <w:color w:val="auto"/>
              </w:rPr>
            </w:pPr>
          </w:p>
        </w:tc>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73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73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17,151,648</w:t>
            </w:r>
            <w:r>
              <w:rPr>
                <w:rFonts w:ascii="Arial" w:cs="Arial" w:eastAsia="Arial" w:hAnsi="Arial"/>
                <w:sz w:val="29"/>
                <w:szCs w:val="29"/>
                <w:b w:val="1"/>
                <w:bCs w:val="1"/>
                <w:color w:val="auto"/>
                <w:vertAlign w:val="superscript"/>
              </w:rPr>
              <w:t>(3)</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340" w:type="dxa"/>
            <w:vAlign w:val="bottom"/>
          </w:tcPr>
          <w:p>
            <w:pPr>
              <w:ind w:left="120"/>
              <w:spacing w:after="0"/>
              <w:rPr>
                <w:sz w:val="20"/>
                <w:szCs w:val="20"/>
                <w:color w:val="auto"/>
              </w:rPr>
            </w:pPr>
            <w:r>
              <w:rPr>
                <w:rFonts w:ascii="Arial" w:cs="Arial" w:eastAsia="Arial" w:hAnsi="Arial"/>
                <w:sz w:val="18"/>
                <w:szCs w:val="18"/>
                <w:color w:val="auto"/>
              </w:rPr>
              <w:t>AGGREGATE</w:t>
            </w:r>
          </w:p>
        </w:tc>
        <w:tc>
          <w:tcPr>
            <w:tcW w:w="738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17,151,648</w:t>
            </w:r>
            <w:r>
              <w:rPr>
                <w:rFonts w:ascii="Arial" w:cs="Arial" w:eastAsia="Arial" w:hAnsi="Arial"/>
                <w:sz w:val="29"/>
                <w:szCs w:val="29"/>
                <w:b w:val="1"/>
                <w:bCs w:val="1"/>
                <w:color w:val="auto"/>
                <w:w w:val="89"/>
                <w:vertAlign w:val="superscript"/>
              </w:rPr>
              <w:t>(3)</w:t>
            </w: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20" w:type="dxa"/>
            <w:vAlign w:val="bottom"/>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1340" w:type="dxa"/>
            <w:vAlign w:val="bottom"/>
            <w:tcBorders>
              <w:bottom w:val="single" w:sz="8" w:color="auto"/>
            </w:tcBorders>
          </w:tcPr>
          <w:p>
            <w:pPr>
              <w:spacing w:after="0"/>
              <w:rPr>
                <w:sz w:val="17"/>
                <w:szCs w:val="17"/>
                <w:color w:val="auto"/>
              </w:rPr>
            </w:pPr>
          </w:p>
        </w:tc>
        <w:tc>
          <w:tcPr>
            <w:tcW w:w="8720" w:type="dxa"/>
            <w:vAlign w:val="bottom"/>
            <w:tcBorders>
              <w:bottom w:val="single" w:sz="8" w:color="auto"/>
            </w:tcBorders>
            <w:gridSpan w:val="3"/>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1340" w:type="dxa"/>
            <w:vAlign w:val="bottom"/>
          </w:tcPr>
          <w:p>
            <w:pPr>
              <w:ind w:left="280"/>
              <w:spacing w:after="0"/>
              <w:rPr>
                <w:sz w:val="20"/>
                <w:szCs w:val="20"/>
                <w:color w:val="auto"/>
              </w:rPr>
            </w:pPr>
            <w:r>
              <w:rPr>
                <w:rFonts w:ascii="Arial" w:cs="Arial" w:eastAsia="Arial" w:hAnsi="Arial"/>
                <w:sz w:val="18"/>
                <w:szCs w:val="18"/>
                <w:b w:val="1"/>
                <w:bCs w:val="1"/>
                <w:color w:val="auto"/>
              </w:rPr>
              <w:t>7.6</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500" w:hanging="880"/>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77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77510"/>
                    </a:xfrm>
                    <a:prstGeom prst="rect">
                      <a:avLst/>
                    </a:prstGeom>
                    <a:noFill/>
                  </pic:spPr>
                </pic:pic>
              </a:graphicData>
            </a:graphic>
          </wp:anchor>
        </w:drawing>
      </w:r>
    </w:p>
    <w:p>
      <w:pPr>
        <w:spacing w:after="0" w:line="246" w:lineRule="exact"/>
        <w:rPr>
          <w:sz w:val="20"/>
          <w:szCs w:val="20"/>
          <w:color w:val="auto"/>
        </w:rPr>
      </w:pPr>
    </w:p>
    <w:p>
      <w:pPr>
        <w:ind w:left="1380" w:hanging="715"/>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4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Stichting Administratiekantoor Aequa Lance Foundation</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1340" w:type="dxa"/>
            <w:vAlign w:val="bottom"/>
          </w:tcPr>
          <w:p>
            <w:pPr>
              <w:jc w:val="center"/>
              <w:spacing w:after="0" w:line="163" w:lineRule="exact"/>
              <w:rPr>
                <w:sz w:val="20"/>
                <w:szCs w:val="20"/>
                <w:color w:val="auto"/>
              </w:rPr>
            </w:pPr>
            <w:r>
              <w:rPr>
                <w:rFonts w:ascii="Arial" w:cs="Arial" w:eastAsia="Arial" w:hAnsi="Arial"/>
                <w:sz w:val="18"/>
                <w:szCs w:val="18"/>
                <w:color w:val="auto"/>
                <w:w w:val="99"/>
              </w:rPr>
              <w:t>2</w:t>
            </w:r>
          </w:p>
        </w:tc>
        <w:tc>
          <w:tcPr>
            <w:tcW w:w="872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Pr>
          <w:p>
            <w:pPr>
              <w:ind w:left="200"/>
              <w:spacing w:after="0" w:line="16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63"/>
        </w:trPr>
        <w:tc>
          <w:tcPr>
            <w:tcW w:w="1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4"/>
              </w:rPr>
              <w:t>SEC USE ONLY</w:t>
            </w:r>
          </w:p>
        </w:tc>
        <w:tc>
          <w:tcPr>
            <w:tcW w:w="7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gridSpan w:val="2"/>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SOURCE OF FUNDS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OO</w:t>
            </w: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11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380" w:type="dxa"/>
            <w:vAlign w:val="bottom"/>
            <w:tcBorders>
              <w:bottom w:val="single" w:sz="8" w:color="auto"/>
            </w:tcBorders>
            <w:gridSpan w:val="2"/>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The Netherlands</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6"/>
                <w:szCs w:val="16"/>
                <w:color w:val="auto"/>
              </w:rPr>
            </w:pPr>
          </w:p>
        </w:tc>
        <w:tc>
          <w:tcPr>
            <w:tcW w:w="73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OWNED BY</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5"/>
                <w:szCs w:val="15"/>
                <w:color w:val="auto"/>
              </w:rPr>
            </w:pPr>
          </w:p>
        </w:tc>
        <w:tc>
          <w:tcPr>
            <w:tcW w:w="7320" w:type="dxa"/>
            <w:vAlign w:val="bottom"/>
          </w:tcPr>
          <w:p>
            <w:pPr>
              <w:ind w:left="40"/>
              <w:spacing w:after="0" w:line="182" w:lineRule="exact"/>
              <w:rPr>
                <w:sz w:val="20"/>
                <w:szCs w:val="20"/>
                <w:color w:val="auto"/>
              </w:rPr>
            </w:pPr>
            <w:r>
              <w:rPr>
                <w:rFonts w:ascii="Arial" w:cs="Arial" w:eastAsia="Arial" w:hAnsi="Arial"/>
                <w:sz w:val="18"/>
                <w:szCs w:val="18"/>
                <w:color w:val="auto"/>
              </w:rPr>
              <w:t>SHARED VOTING POWER</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EACH</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3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32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17,151,648</w:t>
            </w:r>
            <w:r>
              <w:rPr>
                <w:rFonts w:ascii="Arial" w:cs="Arial" w:eastAsia="Arial" w:hAnsi="Arial"/>
                <w:sz w:val="26"/>
                <w:szCs w:val="26"/>
                <w:b w:val="1"/>
                <w:bCs w:val="1"/>
                <w:color w:val="auto"/>
                <w:vertAlign w:val="superscript"/>
              </w:rPr>
              <w:t>(3)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3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340" w:type="dxa"/>
            <w:vAlign w:val="bottom"/>
            <w:vMerge w:val="continue"/>
          </w:tcPr>
          <w:p>
            <w:pPr>
              <w:spacing w:after="0"/>
              <w:rPr>
                <w:sz w:val="13"/>
                <w:szCs w:val="13"/>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3"/>
                <w:szCs w:val="13"/>
                <w:color w:val="auto"/>
              </w:rPr>
            </w:pPr>
          </w:p>
        </w:tc>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73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73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17,151,648</w:t>
            </w:r>
            <w:r>
              <w:rPr>
                <w:rFonts w:ascii="Arial" w:cs="Arial" w:eastAsia="Arial" w:hAnsi="Arial"/>
                <w:sz w:val="29"/>
                <w:szCs w:val="29"/>
                <w:b w:val="1"/>
                <w:bCs w:val="1"/>
                <w:color w:val="auto"/>
                <w:vertAlign w:val="superscript"/>
              </w:rPr>
              <w:t>(3)</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340" w:type="dxa"/>
            <w:vAlign w:val="bottom"/>
          </w:tcPr>
          <w:p>
            <w:pPr>
              <w:ind w:left="120"/>
              <w:spacing w:after="0"/>
              <w:rPr>
                <w:sz w:val="20"/>
                <w:szCs w:val="20"/>
                <w:color w:val="auto"/>
              </w:rPr>
            </w:pPr>
            <w:r>
              <w:rPr>
                <w:rFonts w:ascii="Arial" w:cs="Arial" w:eastAsia="Arial" w:hAnsi="Arial"/>
                <w:sz w:val="18"/>
                <w:szCs w:val="18"/>
                <w:color w:val="auto"/>
              </w:rPr>
              <w:t>AGGREGATE</w:t>
            </w:r>
          </w:p>
        </w:tc>
        <w:tc>
          <w:tcPr>
            <w:tcW w:w="738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17,151,648</w:t>
            </w:r>
            <w:r>
              <w:rPr>
                <w:rFonts w:ascii="Arial" w:cs="Arial" w:eastAsia="Arial" w:hAnsi="Arial"/>
                <w:sz w:val="29"/>
                <w:szCs w:val="29"/>
                <w:b w:val="1"/>
                <w:bCs w:val="1"/>
                <w:color w:val="auto"/>
                <w:w w:val="89"/>
                <w:vertAlign w:val="superscript"/>
              </w:rPr>
              <w:t>(3)</w:t>
            </w: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20" w:type="dxa"/>
            <w:vAlign w:val="bottom"/>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1340" w:type="dxa"/>
            <w:vAlign w:val="bottom"/>
            <w:tcBorders>
              <w:bottom w:val="single" w:sz="8" w:color="auto"/>
            </w:tcBorders>
          </w:tcPr>
          <w:p>
            <w:pPr>
              <w:spacing w:after="0"/>
              <w:rPr>
                <w:sz w:val="17"/>
                <w:szCs w:val="17"/>
                <w:color w:val="auto"/>
              </w:rPr>
            </w:pPr>
          </w:p>
        </w:tc>
        <w:tc>
          <w:tcPr>
            <w:tcW w:w="8720" w:type="dxa"/>
            <w:vAlign w:val="bottom"/>
            <w:tcBorders>
              <w:bottom w:val="single" w:sz="8" w:color="auto"/>
            </w:tcBorders>
            <w:gridSpan w:val="3"/>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1340" w:type="dxa"/>
            <w:vAlign w:val="bottom"/>
          </w:tcPr>
          <w:p>
            <w:pPr>
              <w:ind w:left="280"/>
              <w:spacing w:after="0"/>
              <w:rPr>
                <w:sz w:val="20"/>
                <w:szCs w:val="20"/>
                <w:color w:val="auto"/>
              </w:rPr>
            </w:pPr>
            <w:r>
              <w:rPr>
                <w:rFonts w:ascii="Arial" w:cs="Arial" w:eastAsia="Arial" w:hAnsi="Arial"/>
                <w:sz w:val="18"/>
                <w:szCs w:val="18"/>
                <w:b w:val="1"/>
                <w:bCs w:val="1"/>
                <w:color w:val="auto"/>
              </w:rPr>
              <w:t>7.6</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500" w:hanging="880"/>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77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477510"/>
                    </a:xfrm>
                    <a:prstGeom prst="rect">
                      <a:avLst/>
                    </a:prstGeom>
                    <a:noFill/>
                  </pic:spPr>
                </pic:pic>
              </a:graphicData>
            </a:graphic>
          </wp:anchor>
        </w:drawing>
      </w:r>
    </w:p>
    <w:p>
      <w:pPr>
        <w:spacing w:after="0" w:line="246" w:lineRule="exact"/>
        <w:rPr>
          <w:sz w:val="20"/>
          <w:szCs w:val="20"/>
          <w:color w:val="auto"/>
        </w:rPr>
      </w:pPr>
    </w:p>
    <w:p>
      <w:pPr>
        <w:ind w:left="1380" w:hanging="715"/>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b w:val="1"/>
          <w:bCs w:val="1"/>
          <w:color w:val="auto"/>
        </w:rPr>
        <w:t>Edward Heerema</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Pr>
          <w:p>
            <w:pPr>
              <w:ind w:left="20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63"/>
        </w:trPr>
        <w:tc>
          <w:tcPr>
            <w:tcW w:w="1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4"/>
              </w:rPr>
              <w:t>SEC USE ONLY</w:t>
            </w:r>
          </w:p>
        </w:tc>
        <w:tc>
          <w:tcPr>
            <w:tcW w:w="7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gridSpan w:val="2"/>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SOURCE OF FUNDS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OO</w:t>
            </w: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11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380" w:type="dxa"/>
            <w:vAlign w:val="bottom"/>
            <w:tcBorders>
              <w:bottom w:val="single" w:sz="8" w:color="auto"/>
            </w:tcBorders>
            <w:gridSpan w:val="2"/>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Switzerland</w:t>
            </w: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6"/>
                <w:szCs w:val="16"/>
                <w:color w:val="auto"/>
              </w:rPr>
            </w:pPr>
          </w:p>
        </w:tc>
        <w:tc>
          <w:tcPr>
            <w:tcW w:w="73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9"/>
              </w:rPr>
              <w:t>OWNED BY</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5"/>
                <w:szCs w:val="15"/>
                <w:color w:val="auto"/>
              </w:rPr>
            </w:pPr>
          </w:p>
        </w:tc>
        <w:tc>
          <w:tcPr>
            <w:tcW w:w="7320" w:type="dxa"/>
            <w:vAlign w:val="bottom"/>
          </w:tcPr>
          <w:p>
            <w:pPr>
              <w:ind w:left="40"/>
              <w:spacing w:after="0" w:line="182" w:lineRule="exact"/>
              <w:rPr>
                <w:sz w:val="20"/>
                <w:szCs w:val="20"/>
                <w:color w:val="auto"/>
              </w:rPr>
            </w:pPr>
            <w:r>
              <w:rPr>
                <w:rFonts w:ascii="Arial" w:cs="Arial" w:eastAsia="Arial" w:hAnsi="Arial"/>
                <w:sz w:val="18"/>
                <w:szCs w:val="18"/>
                <w:color w:val="auto"/>
              </w:rPr>
              <w:t>SHARED VOTING POWER</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EACH</w:t>
            </w: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13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32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17,151,648</w:t>
            </w:r>
            <w:r>
              <w:rPr>
                <w:rFonts w:ascii="Arial" w:cs="Arial" w:eastAsia="Arial" w:hAnsi="Arial"/>
                <w:sz w:val="26"/>
                <w:szCs w:val="26"/>
                <w:b w:val="1"/>
                <w:bCs w:val="1"/>
                <w:color w:val="auto"/>
                <w:vertAlign w:val="superscript"/>
              </w:rPr>
              <w:t>(3)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3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340" w:type="dxa"/>
            <w:vAlign w:val="bottom"/>
            <w:vMerge w:val="continue"/>
          </w:tcPr>
          <w:p>
            <w:pPr>
              <w:spacing w:after="0"/>
              <w:rPr>
                <w:sz w:val="13"/>
                <w:szCs w:val="13"/>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3"/>
                <w:szCs w:val="13"/>
                <w:color w:val="auto"/>
              </w:rPr>
            </w:pPr>
          </w:p>
        </w:tc>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73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73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17,151,648</w:t>
            </w:r>
            <w:r>
              <w:rPr>
                <w:rFonts w:ascii="Arial" w:cs="Arial" w:eastAsia="Arial" w:hAnsi="Arial"/>
                <w:sz w:val="29"/>
                <w:szCs w:val="29"/>
                <w:b w:val="1"/>
                <w:bCs w:val="1"/>
                <w:color w:val="auto"/>
                <w:vertAlign w:val="superscript"/>
              </w:rPr>
              <w:t>(3)</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340" w:type="dxa"/>
            <w:vAlign w:val="bottom"/>
          </w:tcPr>
          <w:p>
            <w:pPr>
              <w:ind w:left="120"/>
              <w:spacing w:after="0"/>
              <w:rPr>
                <w:sz w:val="20"/>
                <w:szCs w:val="20"/>
                <w:color w:val="auto"/>
              </w:rPr>
            </w:pPr>
            <w:r>
              <w:rPr>
                <w:rFonts w:ascii="Arial" w:cs="Arial" w:eastAsia="Arial" w:hAnsi="Arial"/>
                <w:sz w:val="18"/>
                <w:szCs w:val="18"/>
                <w:color w:val="auto"/>
              </w:rPr>
              <w:t>AGGREGATE</w:t>
            </w:r>
          </w:p>
        </w:tc>
        <w:tc>
          <w:tcPr>
            <w:tcW w:w="738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17,151,648</w:t>
            </w:r>
            <w:r>
              <w:rPr>
                <w:rFonts w:ascii="Arial" w:cs="Arial" w:eastAsia="Arial" w:hAnsi="Arial"/>
                <w:sz w:val="29"/>
                <w:szCs w:val="29"/>
                <w:b w:val="1"/>
                <w:bCs w:val="1"/>
                <w:color w:val="auto"/>
                <w:w w:val="89"/>
                <w:vertAlign w:val="superscript"/>
              </w:rPr>
              <w:t>(3)</w:t>
            </w:r>
          </w:p>
        </w:tc>
        <w:tc>
          <w:tcPr>
            <w:tcW w:w="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20" w:type="dxa"/>
            <w:vAlign w:val="bottom"/>
          </w:tcPr>
          <w:p>
            <w:pPr>
              <w:ind w:left="1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1340" w:type="dxa"/>
            <w:vAlign w:val="bottom"/>
            <w:tcBorders>
              <w:bottom w:val="single" w:sz="8" w:color="auto"/>
            </w:tcBorders>
          </w:tcPr>
          <w:p>
            <w:pPr>
              <w:spacing w:after="0"/>
              <w:rPr>
                <w:sz w:val="17"/>
                <w:szCs w:val="17"/>
                <w:color w:val="auto"/>
              </w:rPr>
            </w:pPr>
          </w:p>
        </w:tc>
        <w:tc>
          <w:tcPr>
            <w:tcW w:w="8720" w:type="dxa"/>
            <w:vAlign w:val="bottom"/>
            <w:tcBorders>
              <w:bottom w:val="single" w:sz="8" w:color="auto"/>
            </w:tcBorders>
            <w:gridSpan w:val="3"/>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1340" w:type="dxa"/>
            <w:vAlign w:val="bottom"/>
          </w:tcPr>
          <w:p>
            <w:pPr>
              <w:ind w:left="280"/>
              <w:spacing w:after="0"/>
              <w:rPr>
                <w:sz w:val="20"/>
                <w:szCs w:val="20"/>
                <w:color w:val="auto"/>
              </w:rPr>
            </w:pPr>
            <w:r>
              <w:rPr>
                <w:rFonts w:ascii="Arial" w:cs="Arial" w:eastAsia="Arial" w:hAnsi="Arial"/>
                <w:sz w:val="18"/>
                <w:szCs w:val="18"/>
                <w:b w:val="1"/>
                <w:bCs w:val="1"/>
                <w:color w:val="auto"/>
              </w:rPr>
              <w:t>7.6</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500" w:hanging="880"/>
        <w:spacing w:after="0"/>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96" w:lineRule="exact"/>
        <w:rPr>
          <w:rFonts w:ascii="Arial" w:cs="Arial" w:eastAsia="Arial" w:hAnsi="Arial"/>
          <w:sz w:val="18"/>
          <w:szCs w:val="18"/>
          <w:color w:val="auto"/>
        </w:rPr>
      </w:pPr>
    </w:p>
    <w:p>
      <w:pPr>
        <w:ind w:right="380" w:firstLine="8"/>
        <w:spacing w:after="0" w:line="342" w:lineRule="auto"/>
        <w:tabs>
          <w:tab w:leader="none" w:pos="75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16,151,648 common shares of the Issuer ("TMC Common Shares") held by Allseas Group S.A. Excludes shares of TMC Common Shares issuable upon the exercise of 10,000,000 warrants of the Issuer, contingent upon successful completion the pilot mining test system.</w:t>
      </w:r>
    </w:p>
    <w:p>
      <w:pPr>
        <w:spacing w:after="0" w:line="123" w:lineRule="exact"/>
        <w:rPr>
          <w:rFonts w:ascii="Arial" w:cs="Arial" w:eastAsia="Arial" w:hAnsi="Arial"/>
          <w:sz w:val="16"/>
          <w:szCs w:val="16"/>
          <w:color w:val="auto"/>
        </w:rPr>
      </w:pPr>
    </w:p>
    <w:p>
      <w:pPr>
        <w:ind w:right="60" w:firstLine="8"/>
        <w:spacing w:after="0" w:line="277" w:lineRule="auto"/>
        <w:tabs>
          <w:tab w:leader="none" w:pos="7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is based upon 225,259,277 shares of TMC Common Shares issued and outstanding as of November 12, 2021, as disclosed in the Issur's Quarterly Report on Form 10-Q filed with the Securities and Exchange Commission on November 15, 2021.</w:t>
      </w:r>
    </w:p>
    <w:p>
      <w:pPr>
        <w:spacing w:after="0" w:line="170" w:lineRule="exact"/>
        <w:rPr>
          <w:rFonts w:ascii="Arial" w:cs="Arial" w:eastAsia="Arial" w:hAnsi="Arial"/>
          <w:sz w:val="18"/>
          <w:szCs w:val="18"/>
          <w:color w:val="auto"/>
        </w:rPr>
      </w:pPr>
    </w:p>
    <w:p>
      <w:pPr>
        <w:ind w:right="120" w:firstLine="8"/>
        <w:spacing w:after="0" w:line="263" w:lineRule="auto"/>
        <w:tabs>
          <w:tab w:leader="none" w:pos="7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16,151,648 shares of TMC Common Shares held by Allseas Group S.A. and (ii) 1,000,000 shares of TMC Common Shares held by Argentum Cedit Virtuti GCV. Excludes shares of TMC Common Shares issuable upon the exercise of 10,000,000 warrants of the Issuer, contingent upon successful completion the pilot mining test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-1262380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color w:val="auto"/>
        </w:rPr>
        <w:t>This Amendment No. 1 to Schedule 13D (this "Amendment No. 1") is being filed jointly by (i) Allseas Group S.A. ("AGSA"), by virtue of its direct ownership of 16,151,648 shares of TMC Common Shares, (ii) Allseas Investments S.A. ("AISA"), by virtue of its ownership of AGSA, (iii) Argentum Credit Virtuti GCV ("ACV"), by virtue of its direct ownership of 1,000,000 shares of TMC Common Shares and its ownership of AGSA and AISA,</w:t>
      </w:r>
    </w:p>
    <w:p>
      <w:pPr>
        <w:spacing w:after="0" w:line="2" w:lineRule="exact"/>
        <w:rPr>
          <w:sz w:val="20"/>
          <w:szCs w:val="20"/>
          <w:color w:val="auto"/>
        </w:rPr>
      </w:pPr>
    </w:p>
    <w:p>
      <w:pPr>
        <w:ind w:right="200" w:firstLine="8"/>
        <w:spacing w:after="0" w:line="277" w:lineRule="auto"/>
        <w:tabs>
          <w:tab w:leader="none" w:pos="30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TMC Stichting Administratiekantoor Aequa Lance Foundation ("Aequa Lance Foundation"), by virtue of its ownership of AGC, and (v) Edward Heerema, by virtue of his ownership of Aequa Lance Foundation (the foregoing collectively, the “Reporting Persons”), and amends and supplements the statement on Schedule 13D filed with the Securities and Exchange Commission on September 21, 2021 (the "Schedule 13D").</w:t>
      </w:r>
    </w:p>
    <w:p>
      <w:pPr>
        <w:spacing w:after="0" w:line="17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This Amendment No. 1 is filed to correct an error in the number of common shares ("TMC Common Shares") with no par value of TMC the metals company Inc. (the “Issuer”) reported in the Schedule 13D as beneficially owned by the Reporting Persons as of September 19, 2021. Information reported in the Schedule 13D remains in effect except to the extent that it is amended, restated or superseded by information contained in this Amendment No. 1. Capitalized terms used herein and not otherwise defined in this Amendment No. 1 have the meanings set forth in the Schedule 13D.</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25" w:lineRule="exact"/>
        <w:rPr>
          <w:sz w:val="20"/>
          <w:szCs w:val="20"/>
          <w:color w:val="auto"/>
        </w:rPr>
      </w:pPr>
    </w:p>
    <w:p>
      <w:pPr>
        <w:ind w:left="1140" w:right="180" w:hanging="565"/>
        <w:spacing w:after="0" w:line="34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responses to Item 2 of the Schedule 13D are incorporated by reference herein. The following information is as of the date hereof and assumes there are 225,259,277 shares of TMC Common Shares outstanding, based on the information furnished by the Issuer.</w:t>
      </w:r>
    </w:p>
    <w:p>
      <w:pPr>
        <w:spacing w:after="0" w:line="123" w:lineRule="exact"/>
        <w:rPr>
          <w:rFonts w:ascii="Arial" w:cs="Arial" w:eastAsia="Arial" w:hAnsi="Arial"/>
          <w:sz w:val="16"/>
          <w:szCs w:val="16"/>
          <w:color w:val="auto"/>
        </w:rPr>
      </w:pPr>
    </w:p>
    <w:p>
      <w:pPr>
        <w:ind w:left="1140"/>
        <w:spacing w:after="0" w:line="263" w:lineRule="auto"/>
        <w:rPr>
          <w:rFonts w:ascii="Arial" w:cs="Arial" w:eastAsia="Arial" w:hAnsi="Arial"/>
          <w:sz w:val="16"/>
          <w:szCs w:val="16"/>
          <w:color w:val="auto"/>
        </w:rPr>
      </w:pPr>
      <w:r>
        <w:rPr>
          <w:rFonts w:ascii="Arial" w:cs="Arial" w:eastAsia="Arial" w:hAnsi="Arial"/>
          <w:sz w:val="18"/>
          <w:szCs w:val="18"/>
          <w:color w:val="auto"/>
        </w:rPr>
        <w:t>AGSA and AISA may be deemed to beneficially own 16,151,648 shares of TMC Common Shares, or approximately 7.2% of the outstanding TMC Common Share. ACV, Aequa Lance Foundation and Mr. Heerema may be deemed to beneficially own 17,151,648 shares of TMC Common Shares, or approximately 7.6% of the outstanding TMC Common Share outstanding.</w:t>
      </w:r>
    </w:p>
    <w:p>
      <w:pPr>
        <w:spacing w:after="0" w:line="183" w:lineRule="exact"/>
        <w:rPr>
          <w:rFonts w:ascii="Arial" w:cs="Arial" w:eastAsia="Arial" w:hAnsi="Arial"/>
          <w:sz w:val="16"/>
          <w:szCs w:val="16"/>
          <w:color w:val="auto"/>
        </w:rPr>
      </w:pPr>
    </w:p>
    <w:p>
      <w:pPr>
        <w:ind w:left="1140" w:right="40"/>
        <w:spacing w:after="0" w:line="263" w:lineRule="auto"/>
        <w:rPr>
          <w:rFonts w:ascii="Arial" w:cs="Arial" w:eastAsia="Arial" w:hAnsi="Arial"/>
          <w:sz w:val="16"/>
          <w:szCs w:val="16"/>
          <w:color w:val="auto"/>
        </w:rPr>
      </w:pPr>
      <w:r>
        <w:rPr>
          <w:rFonts w:ascii="Arial" w:cs="Arial" w:eastAsia="Arial" w:hAnsi="Arial"/>
          <w:sz w:val="18"/>
          <w:szCs w:val="18"/>
          <w:color w:val="auto"/>
        </w:rPr>
        <w:t>Except as disclosed in this Schedule 13D, none of the Reporting Persons beneficially owns any TMC Common Shares or has the right to acquire any TMC Common Shares. Each Reporting Person disclaims beneficial ownership of the reported TMC Common Shares except to the extent of its or his respective pecuniary interest therein.</w:t>
      </w:r>
    </w:p>
    <w:p>
      <w:pPr>
        <w:spacing w:after="0" w:line="183" w:lineRule="exact"/>
        <w:rPr>
          <w:rFonts w:ascii="Arial" w:cs="Arial" w:eastAsia="Arial" w:hAnsi="Arial"/>
          <w:sz w:val="16"/>
          <w:szCs w:val="16"/>
          <w:color w:val="auto"/>
        </w:rPr>
      </w:pPr>
    </w:p>
    <w:p>
      <w:pPr>
        <w:ind w:left="1140" w:right="100" w:hanging="565"/>
        <w:spacing w:after="0" w:line="263"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Regarding the number of TMC Common Shares that the Reporting Persons have the sole power to vote or direct the vote, shared power to vote or direct the vote, sole power to dispose or direct the disposition or shared power to dispose or direct the disposition, see the cover pages to this Schedule 13D.</w:t>
      </w:r>
    </w:p>
    <w:p>
      <w:pPr>
        <w:spacing w:after="0" w:line="183" w:lineRule="exact"/>
        <w:rPr>
          <w:rFonts w:ascii="Arial" w:cs="Arial" w:eastAsia="Arial" w:hAnsi="Arial"/>
          <w:sz w:val="18"/>
          <w:szCs w:val="18"/>
          <w:color w:val="auto"/>
        </w:rPr>
      </w:pPr>
    </w:p>
    <w:p>
      <w:pPr>
        <w:ind w:left="1140" w:right="200" w:hanging="565"/>
        <w:spacing w:after="0" w:line="34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connection with the Business Combination, AGSA received 14,151,648 shares of TMC Common Shares. In connection with the PIPE Financing, AGSA received 2,000,000 shares of TMC Common Shares and ACV received 1,000,000 shares of TMC Common Shares.</w:t>
      </w:r>
    </w:p>
    <w:p>
      <w:pPr>
        <w:spacing w:after="0" w:line="123" w:lineRule="exact"/>
        <w:rPr>
          <w:rFonts w:ascii="Arial" w:cs="Arial" w:eastAsia="Arial" w:hAnsi="Arial"/>
          <w:sz w:val="16"/>
          <w:szCs w:val="16"/>
          <w:color w:val="auto"/>
        </w:rPr>
      </w:pPr>
    </w:p>
    <w:p>
      <w:pPr>
        <w:ind w:left="1140" w:right="120" w:hanging="565"/>
        <w:spacing w:after="0" w:line="34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as set forth in this Item 5, to the best knowledge of the Reporting Persons, no other person is known to have the right to receive, or the power to direct the receipt of dividends from, or proceeds from the sale of, the TMC Common Shares beneficially owned by them.</w:t>
      </w:r>
    </w:p>
    <w:p>
      <w:pPr>
        <w:spacing w:after="0" w:line="123" w:lineRule="exact"/>
        <w:rPr>
          <w:rFonts w:ascii="Arial" w:cs="Arial" w:eastAsia="Arial" w:hAnsi="Arial"/>
          <w:sz w:val="16"/>
          <w:szCs w:val="16"/>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2260" w:right="420" w:hanging="1119"/>
        <w:spacing w:after="0" w:line="258" w:lineRule="auto"/>
        <w:tabs>
          <w:tab w:leader="none" w:pos="2240" w:val="left"/>
        </w:tabs>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Exhibit 1</w:t>
        </w:r>
      </w:hyperlink>
      <w:r>
        <w:rPr>
          <w:rFonts w:ascii="Arial" w:cs="Arial" w:eastAsia="Arial" w:hAnsi="Arial"/>
          <w:sz w:val="18"/>
          <w:szCs w:val="18"/>
          <w:u w:val="single" w:color="auto"/>
          <w:color w:val="0000EE"/>
        </w:rPr>
        <w:tab/>
      </w:r>
      <w:hyperlink r:id="rId21">
        <w:r>
          <w:rPr>
            <w:rFonts w:ascii="Arial" w:cs="Arial" w:eastAsia="Arial" w:hAnsi="Arial"/>
            <w:sz w:val="18"/>
            <w:szCs w:val="18"/>
            <w:u w:val="single" w:color="auto"/>
            <w:color w:val="0000EE"/>
          </w:rPr>
          <w:t>Joint Filing Agreement among the Reporting Persons, dated as of September 17, 2021 (incorporated by reference to</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Exhibit 1 to the Schedule 13D).</w:t>
        </w:r>
      </w:hyperlink>
    </w:p>
    <w:p>
      <w:pPr>
        <w:spacing w:after="0" w:line="1" w:lineRule="exact"/>
        <w:rPr>
          <w:rFonts w:ascii="Arial" w:cs="Arial" w:eastAsia="Arial" w:hAnsi="Arial"/>
          <w:sz w:val="18"/>
          <w:szCs w:val="18"/>
          <w:u w:val="single" w:color="auto"/>
          <w:color w:val="0000EE"/>
        </w:rPr>
      </w:pPr>
    </w:p>
    <w:p>
      <w:pPr>
        <w:ind w:left="2260" w:right="480" w:hanging="1119"/>
        <w:spacing w:after="0" w:line="281" w:lineRule="auto"/>
        <w:tabs>
          <w:tab w:leader="none" w:pos="2240" w:val="left"/>
        </w:tabs>
        <w:rPr>
          <w:rFonts w:ascii="Arial" w:cs="Arial" w:eastAsia="Arial" w:hAnsi="Arial"/>
          <w:sz w:val="16"/>
          <w:szCs w:val="16"/>
          <w:u w:val="single" w:color="auto"/>
          <w:color w:val="0000EE"/>
        </w:rPr>
      </w:pPr>
      <w:hyperlink r:id="rId22">
        <w:r>
          <w:rPr>
            <w:rFonts w:ascii="Arial" w:cs="Arial" w:eastAsia="Arial" w:hAnsi="Arial"/>
            <w:sz w:val="18"/>
            <w:szCs w:val="18"/>
            <w:u w:val="single" w:color="auto"/>
            <w:color w:val="0000EE"/>
          </w:rPr>
          <w:t>Exhibit 2</w:t>
        </w:r>
      </w:hyperlink>
      <w:r>
        <w:rPr>
          <w:rFonts w:ascii="Arial" w:cs="Arial" w:eastAsia="Arial" w:hAnsi="Arial"/>
          <w:sz w:val="18"/>
          <w:szCs w:val="18"/>
          <w:u w:val="single" w:color="auto"/>
          <w:color w:val="0000EE"/>
        </w:rPr>
        <w:tab/>
      </w:r>
      <w:hyperlink r:id="rId22">
        <w:r>
          <w:rPr>
            <w:rFonts w:ascii="Arial" w:cs="Arial" w:eastAsia="Arial" w:hAnsi="Arial"/>
            <w:sz w:val="16"/>
            <w:szCs w:val="16"/>
            <w:u w:val="single" w:color="auto"/>
            <w:color w:val="0000EE"/>
          </w:rPr>
          <w:t>Business Combination Agreement, dated as of March 4, 2021, by and among SOAC, NewCo Sub and DeepGreen</w:t>
        </w:r>
      </w:hyperlink>
      <w:r>
        <w:rPr>
          <w:rFonts w:ascii="Arial" w:cs="Arial" w:eastAsia="Arial" w:hAnsi="Arial"/>
          <w:sz w:val="16"/>
          <w:szCs w:val="16"/>
          <w:u w:val="single" w:color="auto"/>
          <w:color w:val="0000EE"/>
        </w:rPr>
        <w:t xml:space="preserve"> </w:t>
      </w:r>
      <w:hyperlink r:id="rId22">
        <w:r>
          <w:rPr>
            <w:rFonts w:ascii="Arial" w:cs="Arial" w:eastAsia="Arial" w:hAnsi="Arial"/>
            <w:sz w:val="16"/>
            <w:szCs w:val="16"/>
            <w:u w:val="single" w:color="auto"/>
            <w:color w:val="0000EE"/>
          </w:rPr>
          <w:t>(incorporated by reference to Exhibit 2.1 to the Current Report on Form 8-K filed by the Issuer on March 4, 2021).</w:t>
        </w:r>
      </w:hyperlink>
    </w:p>
    <w:p>
      <w:pPr>
        <w:spacing w:after="0" w:line="1" w:lineRule="exact"/>
        <w:rPr>
          <w:rFonts w:ascii="Arial" w:cs="Arial" w:eastAsia="Arial" w:hAnsi="Arial"/>
          <w:sz w:val="18"/>
          <w:szCs w:val="18"/>
          <w:u w:val="single" w:color="auto"/>
          <w:color w:val="0000EE"/>
        </w:rPr>
      </w:pPr>
    </w:p>
    <w:p>
      <w:pPr>
        <w:ind w:left="2260" w:right="140" w:hanging="1119"/>
        <w:spacing w:after="0" w:line="250" w:lineRule="auto"/>
        <w:tabs>
          <w:tab w:leader="none" w:pos="2240" w:val="left"/>
        </w:tabs>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Exhibit 3</w:t>
        </w:r>
      </w:hyperlink>
      <w:r>
        <w:rPr>
          <w:rFonts w:ascii="Arial" w:cs="Arial" w:eastAsia="Arial" w:hAnsi="Arial"/>
          <w:sz w:val="18"/>
          <w:szCs w:val="18"/>
          <w:u w:val="single" w:color="auto"/>
          <w:color w:val="0000EE"/>
        </w:rPr>
        <w:tab/>
      </w:r>
      <w:hyperlink r:id="rId23">
        <w:r>
          <w:rPr>
            <w:rFonts w:ascii="Arial" w:cs="Arial" w:eastAsia="Arial" w:hAnsi="Arial"/>
            <w:sz w:val="18"/>
            <w:szCs w:val="18"/>
            <w:u w:val="single" w:color="auto"/>
            <w:color w:val="0000EE"/>
          </w:rPr>
          <w:t>Form of Subscription Agreement for institutional investors, by and between SOAC and the subscriber parties thereto</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(incorporated by reference to Exhibit 10.1 to the Registration Statement on Form S-4/A filed by the Issuer on August 5,</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2021).</w:t>
        </w:r>
      </w:hyperlink>
    </w:p>
    <w:p>
      <w:pPr>
        <w:spacing w:after="0" w:line="1" w:lineRule="exact"/>
        <w:rPr>
          <w:rFonts w:ascii="Arial" w:cs="Arial" w:eastAsia="Arial" w:hAnsi="Arial"/>
          <w:sz w:val="18"/>
          <w:szCs w:val="18"/>
          <w:u w:val="single" w:color="auto"/>
          <w:color w:val="0000EE"/>
        </w:rPr>
      </w:pPr>
    </w:p>
    <w:p>
      <w:pPr>
        <w:ind w:left="2260" w:hanging="1119"/>
        <w:spacing w:after="0" w:line="253" w:lineRule="auto"/>
        <w:tabs>
          <w:tab w:leader="none" w:pos="2240" w:val="left"/>
        </w:tabs>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Exhibit 4</w:t>
        </w:r>
      </w:hyperlink>
      <w:r>
        <w:rPr>
          <w:rFonts w:ascii="Arial" w:cs="Arial" w:eastAsia="Arial" w:hAnsi="Arial"/>
          <w:sz w:val="18"/>
          <w:szCs w:val="18"/>
          <w:u w:val="single" w:color="auto"/>
          <w:color w:val="0000EE"/>
        </w:rPr>
        <w:tab/>
      </w:r>
      <w:hyperlink r:id="rId24">
        <w:r>
          <w:rPr>
            <w:rFonts w:ascii="Arial" w:cs="Arial" w:eastAsia="Arial" w:hAnsi="Arial"/>
            <w:sz w:val="18"/>
            <w:szCs w:val="18"/>
            <w:u w:val="single" w:color="auto"/>
            <w:color w:val="0000EE"/>
          </w:rPr>
          <w:t>Amended and Restated Registration Rights Agreement, by and between SOAC, the Sponsor, the parties listed under</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Sponsor Group Holders on the signature page(s) thereto and the parties listed under DeepGreen Holders on the signature</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page(s) thereto (incorporated by reference to Exhibit 10.5 to the Registration Statement on Form S-4/A filed by the Issuer</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on August 5,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8" w:right="5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December 2,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Allseas Group S.A.</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Allseas Investments S.A.</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Argentum Credit Virtuti GCV</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Zaakvoerder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Stichting Administratiekantoor Aequa Lance Foundation</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1"/>
      <w:numFmt w:val="decimal"/>
      <w:start w:val="14"/>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1"/>
      <w:numFmt w:val="decimal"/>
      <w:start w:val="14"/>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1"/>
      <w:numFmt w:val="decimal"/>
      <w:start w:val="14"/>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1"/>
      <w:numFmt w:val="decimal"/>
      <w:start w:val="1"/>
    </w:lvl>
    <w:lvl w:ilvl="1">
      <w:lvlJc w:val="left"/>
      <w:lvlText w:val="%2"/>
      <w:numFmt w:val="decimal"/>
      <w:start w:val="14"/>
    </w:lvl>
  </w:abstractNum>
  <w:abstractNum w:abstractNumId="12">
    <w:nsid w:val="DED7263"/>
    <w:multiLevelType w:val="hybridMultilevel"/>
    <w:lvl w:ilvl="0">
      <w:lvlJc w:val="left"/>
      <w:lvlText w:val="(%1)"/>
      <w:numFmt w:val="decimal"/>
      <w:start w:val="1"/>
    </w:lvl>
    <w:lvl w:ilvl="1">
      <w:lvlJc w:val="left"/>
      <w:lvlText w:val="%2"/>
      <w:numFmt w:val="decimal"/>
      <w:start w:val="1"/>
    </w:lvl>
  </w:abstractNum>
  <w:abstractNum w:abstractNumId="13">
    <w:nsid w:val="7FDCC233"/>
    <w:multiLevelType w:val="hybridMultilevel"/>
    <w:lvl w:ilvl="0">
      <w:lvlJc w:val="left"/>
      <w:lvlText w:val="(%1)"/>
      <w:numFmt w:val="lowerRoman"/>
      <w:start w:val="4"/>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21" Type="http://schemas.openxmlformats.org/officeDocument/2006/relationships/hyperlink" Target="https://www.sec.gov/Archives/edgar/data/1798562/000110465921117864/tm2128025d1_ex1.htm" TargetMode="External"/><Relationship Id="rId22" Type="http://schemas.openxmlformats.org/officeDocument/2006/relationships/hyperlink" Target="https://www.sec.gov/Archives/edgar/data/1798562/000121390021013347/ea137001ex2-1_sustainable.htm" TargetMode="External"/><Relationship Id="rId23" Type="http://schemas.openxmlformats.org/officeDocument/2006/relationships/hyperlink" Target="https://www.sec.gov/Archives/edgar/data/1798562/000121390021040480/fs42021a5_sustainableopp.htm#T104" TargetMode="External"/><Relationship Id="rId24" Type="http://schemas.openxmlformats.org/officeDocument/2006/relationships/hyperlink" Target="https://www.sec.gov/Archives/edgar/data/1798562/000121390021040480/fs42021a5_sustainableopp.htm#T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2021-12-02T15:38:38Z</dcterms:created>
  <dcterms:modified xsi:type="dcterms:W3CDTF">2021-12-02T15:38:38Z</dcterms:modified>
</cp:coreProperties>
</file>