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5079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Barron Gerard</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TMC THE METALS COMPANY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595 HOWE STREET, 10TH FLOOR</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100"/>
              <w:spacing w:after="0"/>
              <w:rPr>
                <w:sz w:val="20"/>
                <w:szCs w:val="20"/>
                <w:color w:val="auto"/>
              </w:rPr>
            </w:pPr>
            <w:r>
              <w:rPr>
                <w:rFonts w:ascii="Arial" w:cs="Arial" w:eastAsia="Arial" w:hAnsi="Arial"/>
                <w:sz w:val="17"/>
                <w:szCs w:val="17"/>
                <w:color w:val="0000FF"/>
              </w:rPr>
              <w:t>A1</w:t>
            </w:r>
          </w:p>
        </w:tc>
        <w:tc>
          <w:tcPr>
            <w:tcW w:w="1600" w:type="dxa"/>
            <w:vAlign w:val="bottom"/>
          </w:tcPr>
          <w:p>
            <w:pPr>
              <w:ind w:left="420"/>
              <w:spacing w:after="0"/>
              <w:rPr>
                <w:sz w:val="20"/>
                <w:szCs w:val="20"/>
                <w:color w:val="auto"/>
              </w:rPr>
            </w:pPr>
            <w:r>
              <w:rPr>
                <w:rFonts w:ascii="Arial" w:cs="Arial" w:eastAsia="Arial" w:hAnsi="Arial"/>
                <w:sz w:val="17"/>
                <w:szCs w:val="17"/>
                <w:color w:val="0000FF"/>
              </w:rPr>
              <w:t>V6C 2T5</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TMC the metals Co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TMC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8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60" w:type="dxa"/>
            <w:vAlign w:val="bottom"/>
            <w:gridSpan w:val="3"/>
          </w:tcPr>
          <w:p>
            <w:pPr>
              <w:ind w:left="60"/>
              <w:spacing w:after="0"/>
              <w:rPr>
                <w:sz w:val="20"/>
                <w:szCs w:val="20"/>
                <w:color w:val="auto"/>
              </w:rPr>
            </w:pPr>
            <w:r>
              <w:rPr>
                <w:rFonts w:ascii="Arial" w:cs="Arial" w:eastAsia="Arial" w:hAnsi="Arial"/>
                <w:sz w:val="17"/>
                <w:szCs w:val="17"/>
                <w:color w:val="0000FF"/>
              </w:rPr>
              <w:t>12/24/2021</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ind w:left="36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Arial" w:cs="Arial" w:eastAsia="Arial" w:hAnsi="Arial"/>
                <w:sz w:val="17"/>
                <w:szCs w:val="17"/>
                <w:color w:val="0000FF"/>
              </w:rPr>
              <w:t>12/24/2021</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P</w:t>
            </w:r>
          </w:p>
        </w:tc>
        <w:tc>
          <w:tcPr>
            <w:tcW w:w="160" w:type="dxa"/>
            <w:vAlign w:val="bottom"/>
          </w:tcPr>
          <w:p>
            <w:pPr>
              <w:spacing w:after="0"/>
              <w:rPr>
                <w:sz w:val="22"/>
                <w:szCs w:val="22"/>
                <w:color w:val="auto"/>
              </w:rPr>
            </w:pPr>
          </w:p>
        </w:tc>
        <w:tc>
          <w:tcPr>
            <w:tcW w:w="640" w:type="dxa"/>
            <w:vAlign w:val="bottom"/>
            <w:gridSpan w:val="2"/>
          </w:tcPr>
          <w:p>
            <w:pPr>
              <w:ind w:left="160"/>
              <w:spacing w:after="0"/>
              <w:rPr>
                <w:sz w:val="20"/>
                <w:szCs w:val="20"/>
                <w:color w:val="auto"/>
              </w:rPr>
            </w:pPr>
            <w:r>
              <w:rPr>
                <w:rFonts w:ascii="Arial" w:cs="Arial" w:eastAsia="Arial" w:hAnsi="Arial"/>
                <w:sz w:val="17"/>
                <w:szCs w:val="17"/>
                <w:color w:val="0000FF"/>
                <w:w w:val="88"/>
              </w:rPr>
              <w:t>47,438</w:t>
            </w:r>
          </w:p>
        </w:tc>
        <w:tc>
          <w:tcPr>
            <w:tcW w:w="580" w:type="dxa"/>
            <w:vAlign w:val="bottom"/>
          </w:tcPr>
          <w:p>
            <w:pPr>
              <w:jc w:val="right"/>
              <w:ind w:right="54"/>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w:t>
            </w:r>
          </w:p>
        </w:tc>
        <w:tc>
          <w:tcPr>
            <w:tcW w:w="1360" w:type="dxa"/>
            <w:vAlign w:val="bottom"/>
            <w:gridSpan w:val="3"/>
          </w:tcPr>
          <w:p>
            <w:pPr>
              <w:ind w:left="340"/>
              <w:spacing w:after="0"/>
              <w:rPr>
                <w:sz w:val="20"/>
                <w:szCs w:val="20"/>
                <w:color w:val="auto"/>
              </w:rPr>
            </w:pPr>
            <w:r>
              <w:rPr>
                <w:rFonts w:ascii="Arial" w:cs="Arial" w:eastAsia="Arial" w:hAnsi="Arial"/>
                <w:sz w:val="17"/>
                <w:szCs w:val="17"/>
                <w:color w:val="0000FF"/>
              </w:rPr>
              <w:t>15,087,940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1"/>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Warrants</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vMerge w:val="restart"/>
          </w:tcPr>
          <w:p>
            <w:pPr>
              <w:ind w:left="120"/>
              <w:spacing w:after="0" w:line="266" w:lineRule="exact"/>
              <w:rPr>
                <w:sz w:val="20"/>
                <w:szCs w:val="20"/>
                <w:color w:val="auto"/>
              </w:rPr>
            </w:pPr>
            <w:r>
              <w:rPr>
                <w:rFonts w:ascii="Arial" w:cs="Arial" w:eastAsia="Arial" w:hAnsi="Arial"/>
                <w:sz w:val="25"/>
                <w:szCs w:val="25"/>
                <w:color w:val="0000FF"/>
                <w:vertAlign w:val="subscript"/>
              </w:rPr>
              <w:t>P</w:t>
            </w:r>
            <w:r>
              <w:rPr>
                <w:rFonts w:ascii="Arial" w:cs="Arial" w:eastAsia="Arial" w:hAnsi="Arial"/>
                <w:sz w:val="11"/>
                <w:szCs w:val="11"/>
                <w:color w:val="008000"/>
              </w:rPr>
              <w:t>(1)</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89,394</w:t>
            </w: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purchase</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11.5</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12/24/2021</w:t>
            </w:r>
          </w:p>
        </w:tc>
        <w:tc>
          <w:tcPr>
            <w:tcW w:w="1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89,394</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89,394</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3"/>
                <w:szCs w:val="13"/>
                <w:color w:val="0000FF"/>
                <w:w w:val="87"/>
              </w:rPr>
              <w:t>Shares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Shares</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00" w:firstLine="2"/>
        <w:spacing w:after="0" w:line="258"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24, 2021, the Reporting Person purchased warrants to purchase 89,394 Common Shares, which warrants are subject to the Warrant Agreement dated as of May 8, 2020 between the Issuer and Continental Stock Transfer &amp; Trust Company, as warrant agent, in a privately negotiated transaction for an aggregate purchase price of $30,393.96. The warrants may be exercised only during the period commencing 30 days after the September 9, 2021 completion of the initial business combination (the "Business Combination") of Sustainable Opportunities Acquisition Corp. (the former name of the Issuer) with DeepGreen Metals Inc. and expire five years after the completion of the Business Combination or earlier upon redemption or liquidation.</w:t>
      </w:r>
    </w:p>
    <w:p>
      <w:pPr>
        <w:ind w:left="6600"/>
        <w:spacing w:after="0" w:line="183" w:lineRule="auto"/>
        <w:rPr>
          <w:sz w:val="20"/>
          <w:szCs w:val="20"/>
          <w:color w:val="auto"/>
        </w:rPr>
      </w:pPr>
      <w:r>
        <w:rPr>
          <w:rFonts w:ascii="Arial" w:cs="Arial" w:eastAsia="Arial" w:hAnsi="Arial"/>
          <w:sz w:val="16"/>
          <w:szCs w:val="16"/>
          <w:color w:val="0000FF"/>
        </w:rPr>
        <w:t xml:space="preserve">/s/ Jeffrey Cohan, Attorney-in-  </w:t>
      </w:r>
      <w:r>
        <w:rPr>
          <w:rFonts w:ascii="Arial" w:cs="Arial" w:eastAsia="Arial" w:hAnsi="Arial"/>
          <w:sz w:val="31"/>
          <w:szCs w:val="31"/>
          <w:color w:val="0000FF"/>
          <w:vertAlign w:val="subscript"/>
        </w:rPr>
        <w:t>12/28/2021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1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8772"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2021-12-28T16:31:04Z</dcterms:created>
  <dcterms:modified xsi:type="dcterms:W3CDTF">2021-12-28T16:31:04Z</dcterms:modified>
</cp:coreProperties>
</file>