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40"/>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24,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ind w:left="20"/>
        <w:spacing w:after="0"/>
        <w:tabs>
          <w:tab w:leader="none" w:pos="550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37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37685"/>
                    </a:xfrm>
                    <a:prstGeom prst="rect">
                      <a:avLst/>
                    </a:prstGeom>
                    <a:noFill/>
                  </pic:spPr>
                </pic:pic>
              </a:graphicData>
            </a:graphic>
          </wp:anchor>
        </w:drawing>
      </w:r>
    </w:p>
    <w:p>
      <w:pPr>
        <w:spacing w:after="0" w:line="231" w:lineRule="exact"/>
        <w:rPr>
          <w:sz w:val="20"/>
          <w:szCs w:val="20"/>
          <w:color w:val="auto"/>
        </w:rPr>
      </w:pPr>
    </w:p>
    <w:p>
      <w:pPr>
        <w:ind w:left="820" w:right="7740" w:hanging="674"/>
        <w:spacing w:after="0" w:line="273"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2" w:lineRule="exact"/>
        <w:rPr>
          <w:sz w:val="20"/>
          <w:szCs w:val="20"/>
          <w:color w:val="auto"/>
        </w:rPr>
      </w:pPr>
    </w:p>
    <w:p>
      <w:pPr>
        <w:ind w:left="820" w:hanging="67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8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35" w:lineRule="exact"/>
        <w:rPr>
          <w:sz w:val="20"/>
          <w:szCs w:val="20"/>
          <w:color w:val="auto"/>
        </w:rPr>
      </w:pPr>
    </w:p>
    <w:p>
      <w:pPr>
        <w:ind w:left="820" w:hanging="674"/>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50" w:lineRule="exact"/>
        <w:rPr>
          <w:sz w:val="20"/>
          <w:szCs w:val="20"/>
          <w:color w:val="auto"/>
        </w:rPr>
      </w:pPr>
    </w:p>
    <w:p>
      <w:pPr>
        <w:ind w:left="820" w:right="8800" w:hanging="674"/>
        <w:spacing w:after="0" w:line="23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820" w:hanging="67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8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7" w:lineRule="exact"/>
        <w:rPr>
          <w:sz w:val="20"/>
          <w:szCs w:val="20"/>
          <w:color w:val="auto"/>
        </w:rPr>
      </w:pPr>
    </w:p>
    <w:p>
      <w:pPr>
        <w:ind w:left="820" w:right="6760" w:hanging="674"/>
        <w:spacing w:after="0" w:line="27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06"/>
        </w:trPr>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9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3"/>
        </w:trPr>
        <w:tc>
          <w:tcPr>
            <w:tcW w:w="1380" w:type="dxa"/>
            <w:vAlign w:val="bottom"/>
            <w:tcBorders>
              <w:right w:val="single" w:sz="8" w:color="auto"/>
            </w:tcBorders>
            <w:vMerge w:val="continue"/>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400" w:type="dxa"/>
            <w:vAlign w:val="bottom"/>
          </w:tcPr>
          <w:p>
            <w:pPr>
              <w:ind w:left="100"/>
              <w:spacing w:after="0" w:line="213" w:lineRule="exact"/>
              <w:rPr>
                <w:sz w:val="20"/>
                <w:szCs w:val="20"/>
                <w:color w:val="auto"/>
              </w:rPr>
            </w:pPr>
            <w:r>
              <w:rPr>
                <w:rFonts w:ascii="Arial" w:cs="Arial" w:eastAsia="Arial" w:hAnsi="Arial"/>
                <w:sz w:val="15"/>
                <w:szCs w:val="15"/>
                <w:color w:val="auto"/>
              </w:rPr>
              <w:t>18,474,128 shares of Common Shares</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75"/>
        </w:trPr>
        <w:tc>
          <w:tcPr>
            <w:tcW w:w="1380" w:type="dxa"/>
            <w:vAlign w:val="bottom"/>
            <w:tcBorders>
              <w:right w:val="single" w:sz="8" w:color="auto"/>
            </w:tcBorders>
            <w:vMerge w:val="restart"/>
          </w:tcPr>
          <w:p>
            <w:pPr>
              <w:jc w:val="center"/>
              <w:spacing w:after="0" w:line="201" w:lineRule="exact"/>
              <w:rPr>
                <w:sz w:val="20"/>
                <w:szCs w:val="20"/>
                <w:color w:val="auto"/>
              </w:rPr>
            </w:pPr>
            <w:r>
              <w:rPr>
                <w:rFonts w:ascii="Arial" w:cs="Arial" w:eastAsia="Arial" w:hAnsi="Arial"/>
                <w:sz w:val="18"/>
                <w:szCs w:val="18"/>
                <w:color w:val="auto"/>
                <w:w w:val="91"/>
              </w:rPr>
              <w:t>SHARES</w:t>
            </w:r>
          </w:p>
        </w:tc>
        <w:tc>
          <w:tcPr>
            <w:tcW w:w="460" w:type="dxa"/>
            <w:vAlign w:val="bottom"/>
            <w:tcBorders>
              <w:bottom w:val="single" w:sz="8" w:color="auto"/>
              <w:right w:val="single" w:sz="8" w:color="auto"/>
            </w:tcBorders>
          </w:tcPr>
          <w:p>
            <w:pPr>
              <w:spacing w:after="0"/>
              <w:rPr>
                <w:sz w:val="6"/>
                <w:szCs w:val="6"/>
                <w:color w:val="auto"/>
              </w:rPr>
            </w:pPr>
          </w:p>
        </w:tc>
        <w:tc>
          <w:tcPr>
            <w:tcW w:w="9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380" w:type="dxa"/>
            <w:vAlign w:val="bottom"/>
            <w:tcBorders>
              <w:right w:val="single" w:sz="8" w:color="auto"/>
            </w:tcBorders>
            <w:vMerge w:val="continue"/>
          </w:tcPr>
          <w:p>
            <w:pPr>
              <w:spacing w:after="0"/>
              <w:rPr>
                <w:sz w:val="9"/>
                <w:szCs w:val="9"/>
                <w:color w:val="auto"/>
              </w:rPr>
            </w:pPr>
          </w:p>
        </w:tc>
        <w:tc>
          <w:tcPr>
            <w:tcW w:w="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3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15"/>
                <w:szCs w:val="15"/>
                <w:color w:val="auto"/>
              </w:rPr>
            </w:pPr>
          </w:p>
        </w:tc>
        <w:tc>
          <w:tcPr>
            <w:tcW w:w="9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14"/>
                <w:szCs w:val="14"/>
                <w:color w:val="auto"/>
              </w:rPr>
            </w:pPr>
          </w:p>
        </w:tc>
        <w:tc>
          <w:tcPr>
            <w:tcW w:w="940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
        </w:trPr>
        <w:tc>
          <w:tcPr>
            <w:tcW w:w="138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vMerge w:val="restart"/>
          </w:tcPr>
          <w:p>
            <w:pPr>
              <w:ind w:left="100"/>
              <w:spacing w:after="0" w:line="206" w:lineRule="exact"/>
              <w:rPr>
                <w:sz w:val="20"/>
                <w:szCs w:val="20"/>
                <w:color w:val="auto"/>
              </w:rPr>
            </w:pPr>
            <w:r>
              <w:rPr>
                <w:rFonts w:ascii="Arial" w:cs="Arial" w:eastAsia="Arial" w:hAnsi="Arial"/>
                <w:sz w:val="18"/>
                <w:szCs w:val="18"/>
                <w:color w:val="auto"/>
              </w:rPr>
              <w:t>9</w:t>
            </w:r>
          </w:p>
        </w:tc>
        <w:tc>
          <w:tcPr>
            <w:tcW w:w="9400" w:type="dxa"/>
            <w:vAlign w:val="bottom"/>
            <w:vMerge w:val="restart"/>
          </w:tcPr>
          <w:p>
            <w:pPr>
              <w:ind w:left="100"/>
              <w:spacing w:after="0" w:line="20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9"/>
        </w:trPr>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vMerge w:val="continue"/>
          </w:tcPr>
          <w:p>
            <w:pPr>
              <w:spacing w:after="0"/>
              <w:rPr>
                <w:sz w:val="12"/>
                <w:szCs w:val="12"/>
                <w:color w:val="auto"/>
              </w:rPr>
            </w:pPr>
          </w:p>
        </w:tc>
        <w:tc>
          <w:tcPr>
            <w:tcW w:w="9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38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9400" w:type="dxa"/>
            <w:vAlign w:val="bottom"/>
            <w:vMerge w:val="restart"/>
          </w:tcPr>
          <w:p>
            <w:pPr>
              <w:ind w:left="100"/>
              <w:spacing w:after="0" w:line="280" w:lineRule="exact"/>
              <w:rPr>
                <w:sz w:val="20"/>
                <w:szCs w:val="20"/>
                <w:color w:val="auto"/>
              </w:rPr>
            </w:pPr>
            <w:r>
              <w:rPr>
                <w:rFonts w:ascii="Arial" w:cs="Arial" w:eastAsia="Arial" w:hAnsi="Arial"/>
                <w:sz w:val="18"/>
                <w:szCs w:val="18"/>
                <w:color w:val="auto"/>
              </w:rPr>
              <w:t>18,474,128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0"/>
        </w:trPr>
        <w:tc>
          <w:tcPr>
            <w:tcW w:w="13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3"/>
              </w:rPr>
              <w:t>REPORTING</w:t>
            </w:r>
          </w:p>
        </w:tc>
        <w:tc>
          <w:tcPr>
            <w:tcW w:w="460" w:type="dxa"/>
            <w:vAlign w:val="bottom"/>
            <w:tcBorders>
              <w:bottom w:val="single" w:sz="8" w:color="auto"/>
              <w:right w:val="single" w:sz="8" w:color="auto"/>
            </w:tcBorders>
          </w:tcPr>
          <w:p>
            <w:pPr>
              <w:spacing w:after="0"/>
              <w:rPr>
                <w:sz w:val="18"/>
                <w:szCs w:val="18"/>
                <w:color w:val="auto"/>
              </w:rPr>
            </w:pPr>
          </w:p>
        </w:tc>
        <w:tc>
          <w:tcPr>
            <w:tcW w:w="9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PERSON WITH</w:t>
            </w:r>
          </w:p>
        </w:tc>
        <w:tc>
          <w:tcPr>
            <w:tcW w:w="4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10</w:t>
            </w:r>
          </w:p>
        </w:tc>
        <w:tc>
          <w:tcPr>
            <w:tcW w:w="9400" w:type="dxa"/>
            <w:vAlign w:val="bottom"/>
          </w:tcPr>
          <w:p>
            <w:pPr>
              <w:ind w:left="10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1"/>
        </w:trPr>
        <w:tc>
          <w:tcPr>
            <w:tcW w:w="138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9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ind w:left="820" w:right="3880" w:hanging="674"/>
        <w:spacing w:after="0" w:line="260"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18,474,128 shares of Common Shares</w:t>
      </w:r>
    </w:p>
    <w:p>
      <w:pPr>
        <w:spacing w:after="0" w:line="9" w:lineRule="exact"/>
        <w:rPr>
          <w:rFonts w:ascii="Arial" w:cs="Arial" w:eastAsia="Arial" w:hAnsi="Arial"/>
          <w:sz w:val="18"/>
          <w:szCs w:val="18"/>
          <w:color w:val="auto"/>
        </w:rPr>
      </w:pPr>
    </w:p>
    <w:p>
      <w:pPr>
        <w:ind w:left="820" w:hanging="674"/>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8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7" w:lineRule="exact"/>
        <w:rPr>
          <w:rFonts w:ascii="Arial" w:cs="Arial" w:eastAsia="Arial" w:hAnsi="Arial"/>
          <w:sz w:val="18"/>
          <w:szCs w:val="18"/>
          <w:color w:val="auto"/>
        </w:rPr>
      </w:pPr>
    </w:p>
    <w:p>
      <w:pPr>
        <w:ind w:left="820" w:hanging="674"/>
        <w:spacing w:after="0"/>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820"/>
        <w:spacing w:after="0" w:line="214" w:lineRule="auto"/>
        <w:rPr>
          <w:rFonts w:ascii="Arial" w:cs="Arial" w:eastAsia="Arial" w:hAnsi="Arial"/>
          <w:sz w:val="18"/>
          <w:szCs w:val="18"/>
          <w:color w:val="auto"/>
        </w:rPr>
      </w:pPr>
      <w:r>
        <w:rPr>
          <w:rFonts w:ascii="Arial" w:cs="Arial" w:eastAsia="Arial" w:hAnsi="Arial"/>
          <w:sz w:val="18"/>
          <w:szCs w:val="18"/>
          <w:color w:val="auto"/>
        </w:rPr>
        <w:t>8.1 % of the Common Shares</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820" w:right="7920" w:hanging="674"/>
        <w:spacing w:after="0" w:line="258"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340" w:hanging="324"/>
        <w:spacing w:after="0" w:line="279" w:lineRule="auto"/>
        <w:rPr>
          <w:rFonts w:ascii="Arial" w:cs="Arial" w:eastAsia="Arial" w:hAnsi="Arial"/>
          <w:sz w:val="18"/>
          <w:szCs w:val="18"/>
          <w:color w:val="auto"/>
        </w:rPr>
      </w:pPr>
      <w:r>
        <w:rPr>
          <w:rFonts w:ascii="Arial" w:cs="Arial" w:eastAsia="Arial" w:hAnsi="Arial"/>
          <w:sz w:val="17"/>
          <w:szCs w:val="17"/>
          <w:color w:val="auto"/>
        </w:rPr>
        <w:t>1 Consists of (i) 14,306,690 Common Shares, (ii) 4,078,044 Common Shares underlying options that are exercisable within 60 days of December 24, 2021, and (iii) 89,394 Common Shares underlying warrants. Does not include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71"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based on 225,259,277 Common Shares issued and outstanding as of November 12, 2021, as reported in the Issuer’s Quarterly Report on Form 10-Q filed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13D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3 of 5</w:t>
      </w:r>
    </w:p>
    <w:p>
      <w:pPr>
        <w:spacing w:after="0" w:line="237" w:lineRule="exact"/>
        <w:rPr>
          <w:sz w:val="20"/>
          <w:szCs w:val="20"/>
          <w:color w:val="auto"/>
        </w:rPr>
      </w:pPr>
    </w:p>
    <w:p>
      <w:pPr>
        <w:sectPr>
          <w:pgSz w:w="11900" w:h="16838" w:orient="portrait"/>
          <w:cols w:equalWidth="0" w:num="3">
            <w:col w:w="4240" w:space="720"/>
            <w:col w:w="4740" w:space="720"/>
            <w:col w:w="820"/>
          </w:cols>
          <w:pgMar w:left="320" w:top="908" w:right="339" w:bottom="1440" w:gutter="0" w:footer="0" w:header="0"/>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AMENDMENT NO. 3 TO SCHEDULE 13D</w:t>
      </w:r>
    </w:p>
    <w:p>
      <w:pPr>
        <w:sectPr>
          <w:pgSz w:w="11900" w:h="16838" w:orient="portrait"/>
          <w:cols w:equalWidth="0" w:num="1">
            <w:col w:w="11240"/>
          </w:cols>
          <w:pgMar w:left="320" w:top="908" w:right="339" w:bottom="1440" w:gutter="0" w:footer="0" w:header="0"/>
          <w:type w:val="continuous"/>
        </w:sectPr>
      </w:pP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Amendment No. 3 to Schedule 13D (this “</w:t>
      </w:r>
      <w:r>
        <w:rPr>
          <w:rFonts w:ascii="Arial" w:cs="Arial" w:eastAsia="Arial" w:hAnsi="Arial"/>
          <w:sz w:val="18"/>
          <w:szCs w:val="18"/>
          <w:u w:val="single" w:color="auto"/>
          <w:color w:val="auto"/>
        </w:rPr>
        <w:t>Amendment</w:t>
      </w:r>
      <w:r>
        <w:rPr>
          <w:rFonts w:ascii="Arial" w:cs="Arial" w:eastAsia="Arial" w:hAnsi="Arial"/>
          <w:sz w:val="18"/>
          <w:szCs w:val="18"/>
          <w:color w:val="auto"/>
        </w:rPr>
        <w: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and on November 30, 2021 (the “Schedule 13D”), by Gerard Barron (the “Reporting Person”).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24, 2021, the Reporting Person acquired 47,438 Common Shares at a price of $2.00 per Common Share and acquired warrants to purchase 89,394 Common Shares at an aggregate price of $30,393.96, in privately negotiated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and 47,438 Common Shares and warrants to purchase 89,394 Common Shares beneficially owned by the Reporting Person were subsequently acquired by the Reporting Person on December 24, 2021.</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13D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4 of 5</w:t>
      </w:r>
    </w:p>
    <w:p>
      <w:pPr>
        <w:spacing w:after="0" w:line="237" w:lineRule="exact"/>
        <w:rPr>
          <w:sz w:val="20"/>
          <w:szCs w:val="20"/>
          <w:color w:val="auto"/>
        </w:rPr>
      </w:pPr>
    </w:p>
    <w:p>
      <w:pPr>
        <w:sectPr>
          <w:pgSz w:w="11900" w:h="16838" w:orient="portrait"/>
          <w:cols w:equalWidth="0" w:num="3">
            <w:col w:w="4240" w:space="720"/>
            <w:col w:w="4740" w:space="720"/>
            <w:col w:w="820"/>
          </w:cols>
          <w:pgMar w:left="320" w:top="908"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Reporting Person holds (i) 14,306,690 Common Shares and (ii) 4,078,044 Common Shares underlying options that are exercisable within 60 days of December 24, 2021,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13D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5 of 5</w:t>
      </w:r>
    </w:p>
    <w:p>
      <w:pPr>
        <w:spacing w:after="0" w:line="237" w:lineRule="exact"/>
        <w:rPr>
          <w:sz w:val="20"/>
          <w:szCs w:val="20"/>
          <w:color w:val="auto"/>
        </w:rPr>
      </w:pPr>
    </w:p>
    <w:p>
      <w:pPr>
        <w:sectPr>
          <w:pgSz w:w="11900" w:h="16838" w:orient="portrait"/>
          <w:cols w:equalWidth="0" w:num="3">
            <w:col w:w="4240" w:space="720"/>
            <w:col w:w="4740" w:space="720"/>
            <w:col w:w="820"/>
          </w:cols>
          <w:pgMar w:left="320" w:top="908" w:right="3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w:t>
      </w:r>
    </w:p>
    <w:p>
      <w:pPr>
        <w:sectPr>
          <w:pgSz w:w="11900" w:h="16838" w:orient="portrait"/>
          <w:cols w:equalWidth="0" w:num="1">
            <w:col w:w="11240"/>
          </w:cols>
          <w:pgMar w:left="320" w:top="908" w:right="339" w:bottom="1440" w:gutter="0" w:footer="0" w:header="0"/>
          <w:type w:val="continuous"/>
        </w:sect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5600" w:val="left"/>
        </w:tabs>
        <w:rPr>
          <w:sz w:val="20"/>
          <w:szCs w:val="20"/>
          <w:color w:val="auto"/>
        </w:rPr>
      </w:pPr>
      <w:r>
        <w:rPr>
          <w:rFonts w:ascii="Arial" w:cs="Arial" w:eastAsia="Arial" w:hAnsi="Arial"/>
          <w:sz w:val="18"/>
          <w:szCs w:val="18"/>
          <w:color w:val="auto"/>
        </w:rPr>
        <w:t>Dated: December 29, 2021</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1"/>
      <w:numFmt w:val="decimal"/>
      <w:start w:val="1"/>
    </w:lvl>
    <w:lvl w:ilvl="1">
      <w:lvlJc w:val="left"/>
      <w:lvlText w:val="%2"/>
      <w:numFmt w:val="decimal"/>
      <w:start w:val="1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2021-12-29T15:21:18Z</dcterms:created>
  <dcterms:modified xsi:type="dcterms:W3CDTF">2021-12-29T15:21:18Z</dcterms:modified>
</cp:coreProperties>
</file>