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142875</wp:posOffset>
            </wp:positionV>
            <wp:extent cx="25628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264,438,297 Common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This prospectus supplement no. 3 (this “Supplement”) supplements the prospectus dated October 22, 2021 (the “Prospectus”) relating to the issuance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by us of up to an aggregate of 24,500,000 of our common shares, without par value (“Common Shares”), which consists of (i) up to 9,500,000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Shares that are issuable upon the exercise of private placement warrants (the “Private Placement Warrants”) originally issued in a private placement in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connection with the initial public offering of our predecessor company, Sustainable Opportunities Acquisition Corp. (“SOAC”), at an exercise price of</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$11.50 per Common Share, and (ii) up to 15,000,000 Common Shares that are issuable upon the exercise of 15,000,000 warrants issued in connection with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initial public offering of SOAC (the “Public Warrants,” and together with the Private Placement Warrants, the “Warrants”).</w:t>
      </w:r>
    </w:p>
    <w:p>
      <w:pPr>
        <w:spacing w:after="0" w:line="211" w:lineRule="exact"/>
        <w:rPr>
          <w:sz w:val="24"/>
          <w:szCs w:val="24"/>
          <w:color w:val="auto"/>
        </w:rPr>
      </w:pPr>
    </w:p>
    <w:p>
      <w:pPr>
        <w:ind w:right="200" w:firstLine="432"/>
        <w:spacing w:after="0" w:line="287" w:lineRule="auto"/>
        <w:rPr>
          <w:sz w:val="20"/>
          <w:szCs w:val="20"/>
          <w:color w:val="auto"/>
        </w:rPr>
      </w:pPr>
      <w:r>
        <w:rPr>
          <w:rFonts w:ascii="Arial" w:cs="Arial" w:eastAsia="Arial" w:hAnsi="Arial"/>
          <w:sz w:val="16"/>
          <w:szCs w:val="16"/>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2" w:lineRule="exact"/>
        <w:rPr>
          <w:sz w:val="24"/>
          <w:szCs w:val="24"/>
          <w:color w:val="auto"/>
        </w:rPr>
      </w:pPr>
    </w:p>
    <w:p>
      <w:pPr>
        <w:ind w:right="180" w:firstLine="8"/>
        <w:spacing w:after="0" w:line="281" w:lineRule="auto"/>
        <w:tabs>
          <w:tab w:leader="none" w:pos="305" w:val="left"/>
        </w:tabs>
        <w:numPr>
          <w:ilvl w:val="0"/>
          <w:numId w:val="1"/>
        </w:numPr>
        <w:rPr>
          <w:rFonts w:ascii="Arial" w:cs="Arial" w:eastAsia="Arial" w:hAnsi="Arial"/>
          <w:sz w:val="16"/>
          <w:szCs w:val="16"/>
          <w:color w:val="auto"/>
        </w:rPr>
      </w:pPr>
      <w:r>
        <w:rPr>
          <w:rFonts w:ascii="Arial" w:cs="Arial" w:eastAsia="Arial" w:hAnsi="Arial"/>
          <w:sz w:val="16"/>
          <w:szCs w:val="16"/>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spacing w:after="0" w:line="1" w:lineRule="exact"/>
        <w:rPr>
          <w:rFonts w:ascii="Arial" w:cs="Arial" w:eastAsia="Arial" w:hAnsi="Arial"/>
          <w:sz w:val="16"/>
          <w:szCs w:val="16"/>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91" w:lineRule="exact"/>
        <w:rPr>
          <w:sz w:val="24"/>
          <w:szCs w:val="24"/>
          <w:color w:val="auto"/>
        </w:rPr>
      </w:pPr>
    </w:p>
    <w:p>
      <w:pPr>
        <w:ind w:right="80" w:firstLine="432"/>
        <w:spacing w:after="0" w:line="259" w:lineRule="auto"/>
        <w:rPr>
          <w:sz w:val="20"/>
          <w:szCs w:val="20"/>
          <w:color w:val="auto"/>
        </w:rPr>
      </w:pPr>
      <w:r>
        <w:rPr>
          <w:rFonts w:ascii="Arial" w:cs="Arial" w:eastAsia="Arial" w:hAnsi="Arial"/>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7" w:lineRule="exact"/>
        <w:rPr>
          <w:sz w:val="24"/>
          <w:szCs w:val="24"/>
          <w:color w:val="auto"/>
        </w:rPr>
      </w:pPr>
    </w:p>
    <w:p>
      <w:pPr>
        <w:ind w:right="440" w:firstLine="432"/>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70" w:lineRule="exact"/>
        <w:rPr>
          <w:sz w:val="24"/>
          <w:szCs w:val="24"/>
          <w:color w:val="auto"/>
        </w:rPr>
      </w:pPr>
    </w:p>
    <w:p>
      <w:pPr>
        <w:ind w:right="340" w:firstLine="432"/>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the Prospectus.</w:t>
      </w:r>
    </w:p>
    <w:p>
      <w:pPr>
        <w:spacing w:after="0" w:line="170" w:lineRule="exact"/>
        <w:rPr>
          <w:sz w:val="24"/>
          <w:szCs w:val="24"/>
          <w:color w:val="auto"/>
        </w:rPr>
      </w:pPr>
    </w:p>
    <w:p>
      <w:pPr>
        <w:ind w:right="120" w:firstLine="432"/>
        <w:spacing w:after="0" w:line="257" w:lineRule="auto"/>
        <w:rPr>
          <w:sz w:val="20"/>
          <w:szCs w:val="20"/>
          <w:color w:val="auto"/>
        </w:rPr>
      </w:pPr>
      <w:r>
        <w:rPr>
          <w:rFonts w:ascii="Arial" w:cs="Arial" w:eastAsia="Arial" w:hAnsi="Arial"/>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p>
      <w:pPr>
        <w:ind w:right="360" w:firstLine="432"/>
        <w:spacing w:after="0" w:line="277" w:lineRule="auto"/>
        <w:rPr>
          <w:sz w:val="20"/>
          <w:szCs w:val="20"/>
          <w:color w:val="auto"/>
        </w:rPr>
      </w:pPr>
      <w:r>
        <w:rPr>
          <w:rFonts w:ascii="Arial" w:cs="Arial" w:eastAsia="Arial" w:hAnsi="Arial"/>
          <w:sz w:val="18"/>
          <w:szCs w:val="18"/>
          <w:color w:val="auto"/>
        </w:rPr>
        <w:t>This Supplement incorporates into the Prospectus the information contained in our attached current report on Form 8-K which was filed with the Securities and Exchange Commission on December 30, 2021.</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December 29, 2021, the closing price of our Common Shares was $1.72 and the closing price for our Public Warrants was $0.22.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80" w:firstLine="432"/>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62" w:lineRule="exact"/>
        <w:rPr>
          <w:sz w:val="20"/>
          <w:szCs w:val="20"/>
          <w:color w:val="auto"/>
        </w:rPr>
      </w:pPr>
    </w:p>
    <w:p>
      <w:pPr>
        <w:ind w:right="360" w:firstLine="432"/>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December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British Columbia, Canada</w:t>
            </w:r>
          </w:p>
        </w:tc>
        <w:tc>
          <w:tcPr>
            <w:tcW w:w="382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20" w:type="dxa"/>
            <w:vAlign w:val="bottom"/>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4"/>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6"/>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December 29, 2021, TMC the metals company Inc. (the “Company”) notified The Nasdaq Stock Market LLC (“Nasdaq”) that due to Scott E. Leonard’s resignation disclosed in Item 5.02 of this Current Report on Form 8-K, the Company is no longer in compliance with Nasdaq Listing Rule 5605(c)(2)(A), which requires the Audit Committee to be comprised of a minimum of three independent directors. Pursuant to Nasdaq Listing Rule 5605(c)</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(4)(B), the Company is entitled to a cure period to regain compliance with Nasdaq Listing Rule 5605(c)(2)(A), which cure period will expire at the earlier of the Company’s 2022 annual meeting of shareholders (the “2022 Annual Meeting”) or December 24, 2022, or if the 2022 Annual Meeting is held before June 22, 2022, then the Company must evidence compliance no later than June 22, 2022. The Company expects that the Nasdaq will issue a letter to the Company confirming the Company’s noncompliance with Nasdaq Listing Rule 5605 and informing the Company of the cure period. The Company intends to appoint an additional independent director to the Audit Committee prior to the end of the cure period.</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0" w:firstLine="332"/>
        <w:spacing w:after="0" w:line="277"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24, 2021, Scott E. Leonard resigned, effective immediately, from the Board of Directors (the “Board”) of the Company to focus on other endeavors.</w:t>
      </w:r>
    </w:p>
    <w:p>
      <w:pPr>
        <w:spacing w:after="0" w:line="170"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 connection with Mr. Leonard’s resignation, Andrew Hall, the Company’s lead independent director and current member of the Audit Committee of the Board, was appointed Chair of the Audit Committee and the Company will conduct a search for a new director to join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3"/>
          </w:tcPr>
          <w:p>
            <w:pPr>
              <w:ind w:left="190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December 30, 2021</w:t>
            </w:r>
          </w:p>
        </w:tc>
        <w:tc>
          <w:tcPr>
            <w:tcW w:w="7500" w:type="dxa"/>
            <w:vAlign w:val="bottom"/>
            <w:gridSpan w:val="3"/>
          </w:tcPr>
          <w:p>
            <w:pPr>
              <w:ind w:left="1900"/>
              <w:spacing w:after="0"/>
              <w:rPr>
                <w:sz w:val="20"/>
                <w:szCs w:val="20"/>
                <w:color w:val="auto"/>
              </w:rPr>
            </w:pPr>
            <w:r>
              <w:rPr>
                <w:rFonts w:ascii="Arial" w:cs="Arial" w:eastAsia="Arial" w:hAnsi="Arial"/>
                <w:sz w:val="18"/>
                <w:szCs w:val="18"/>
                <w:color w:val="auto"/>
              </w:rPr>
              <w:t>By: /s/ Gerard Barron</w:t>
            </w:r>
          </w:p>
        </w:tc>
      </w:tr>
      <w:tr>
        <w:trPr>
          <w:trHeight w:val="20"/>
        </w:trPr>
        <w:tc>
          <w:tcPr>
            <w:tcW w:w="3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740" w:type="dxa"/>
            <w:vAlign w:val="bottom"/>
          </w:tcPr>
          <w:p>
            <w:pPr>
              <w:spacing w:after="0"/>
              <w:rPr>
                <w:sz w:val="15"/>
                <w:szCs w:val="15"/>
                <w:color w:val="auto"/>
              </w:rPr>
            </w:pPr>
          </w:p>
        </w:tc>
        <w:tc>
          <w:tcPr>
            <w:tcW w:w="2400" w:type="dxa"/>
            <w:vAlign w:val="bottom"/>
            <w:gridSpan w:val="2"/>
          </w:tcPr>
          <w:p>
            <w:pPr>
              <w:ind w:left="1900"/>
              <w:spacing w:after="0" w:line="182" w:lineRule="exact"/>
              <w:rPr>
                <w:sz w:val="20"/>
                <w:szCs w:val="20"/>
                <w:color w:val="auto"/>
              </w:rPr>
            </w:pPr>
            <w:r>
              <w:rPr>
                <w:rFonts w:ascii="Arial" w:cs="Arial" w:eastAsia="Arial" w:hAnsi="Arial"/>
                <w:sz w:val="18"/>
                <w:szCs w:val="18"/>
                <w:color w:val="auto"/>
                <w:w w:val="90"/>
              </w:rPr>
              <w:t>Name:</w:t>
            </w:r>
          </w:p>
        </w:tc>
        <w:tc>
          <w:tcPr>
            <w:tcW w:w="5100" w:type="dxa"/>
            <w:vAlign w:val="bottom"/>
          </w:tcPr>
          <w:p>
            <w:pPr>
              <w:ind w:left="120"/>
              <w:spacing w:after="0" w:line="182" w:lineRule="exact"/>
              <w:rPr>
                <w:sz w:val="20"/>
                <w:szCs w:val="20"/>
                <w:color w:val="auto"/>
              </w:rPr>
            </w:pPr>
            <w:r>
              <w:rPr>
                <w:rFonts w:ascii="Arial" w:cs="Arial" w:eastAsia="Arial" w:hAnsi="Arial"/>
                <w:sz w:val="18"/>
                <w:szCs w:val="18"/>
                <w:color w:val="auto"/>
              </w:rPr>
              <w:t>Gerard Barron</w:t>
            </w:r>
          </w:p>
        </w:tc>
      </w:tr>
      <w:tr>
        <w:trPr>
          <w:trHeight w:val="230"/>
        </w:trPr>
        <w:tc>
          <w:tcPr>
            <w:tcW w:w="3740" w:type="dxa"/>
            <w:vAlign w:val="bottom"/>
          </w:tcPr>
          <w:p>
            <w:pPr>
              <w:spacing w:after="0"/>
              <w:rPr>
                <w:sz w:val="20"/>
                <w:szCs w:val="20"/>
                <w:color w:val="auto"/>
              </w:rPr>
            </w:pPr>
          </w:p>
        </w:tc>
        <w:tc>
          <w:tcPr>
            <w:tcW w:w="2400" w:type="dxa"/>
            <w:vAlign w:val="bottom"/>
            <w:gridSpan w:val="2"/>
          </w:tcPr>
          <w:p>
            <w:pPr>
              <w:ind w:left="1900"/>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4"/>
    </w:lvl>
  </w:abstractNum>
  <w:abstractNum w:abstractNumId="1">
    <w:nsid w:val="19495CFF"/>
    <w:multiLevelType w:val="hybridMultilevel"/>
    <w:lvl w:ilvl="0">
      <w:lvlJc w:val="left"/>
      <w:lvlText w:val="(%1)"/>
      <w:numFmt w:val="lowerRoman"/>
      <w:start w:val="6"/>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2021-12-30T16:14:41Z</dcterms:created>
  <dcterms:modified xsi:type="dcterms:W3CDTF">2021-12-30T16:14:41Z</dcterms:modified>
</cp:coreProperties>
</file>