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4564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264,438,297 Common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This prospectus supplement no. 4 (this “Supplement”) supplements the prospectus dated October 22, 2021 (the “Prospectus”) relating to the issuance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by us of up to an aggregate of 24,500,000 of our common shares, without par value (“Common Shares”), which consists of (i) up to 9,500,000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Shares that are issuable upon the exercise of private placement warrants (the “Private Placement Warrants”) originally issued in a private placement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connection with the initial public offering of our predecessor company, Sustainable Opportunities Acquisition Corp. (“SOAC”), at an exercise price of</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$11.50 per Common Share, and (ii) up to 15,000,000 Common Shares that are issuable upon the exercise of 15,000,000 warrants issued in connection with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initial public offering of SOAC (the “Public Warrants,” and together with the Private Placement Warrants, the “Warrants”).</w:t>
      </w:r>
    </w:p>
    <w:p>
      <w:pPr>
        <w:spacing w:after="0" w:line="211" w:lineRule="exact"/>
        <w:rPr>
          <w:sz w:val="24"/>
          <w:szCs w:val="24"/>
          <w:color w:val="auto"/>
        </w:rPr>
      </w:pPr>
    </w:p>
    <w:p>
      <w:pPr>
        <w:ind w:right="200" w:firstLine="432"/>
        <w:spacing w:after="0" w:line="287" w:lineRule="auto"/>
        <w:rPr>
          <w:sz w:val="20"/>
          <w:szCs w:val="20"/>
          <w:color w:val="auto"/>
        </w:rPr>
      </w:pPr>
      <w:r>
        <w:rPr>
          <w:rFonts w:ascii="Arial" w:cs="Arial" w:eastAsia="Arial" w:hAnsi="Arial"/>
          <w:sz w:val="16"/>
          <w:szCs w:val="16"/>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2" w:lineRule="exact"/>
        <w:rPr>
          <w:sz w:val="24"/>
          <w:szCs w:val="24"/>
          <w:color w:val="auto"/>
        </w:rPr>
      </w:pPr>
    </w:p>
    <w:p>
      <w:pPr>
        <w:ind w:right="180" w:firstLine="8"/>
        <w:spacing w:after="0" w:line="281" w:lineRule="auto"/>
        <w:tabs>
          <w:tab w:leader="none" w:pos="305" w:val="left"/>
        </w:tabs>
        <w:numPr>
          <w:ilvl w:val="0"/>
          <w:numId w:val="1"/>
        </w:numPr>
        <w:rPr>
          <w:rFonts w:ascii="Arial" w:cs="Arial" w:eastAsia="Arial" w:hAnsi="Arial"/>
          <w:sz w:val="16"/>
          <w:szCs w:val="16"/>
          <w:color w:val="auto"/>
        </w:rPr>
      </w:pPr>
      <w:r>
        <w:rPr>
          <w:rFonts w:ascii="Arial" w:cs="Arial" w:eastAsia="Arial" w:hAnsi="Arial"/>
          <w:sz w:val="16"/>
          <w:szCs w:val="16"/>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spacing w:after="0" w:line="1" w:lineRule="exact"/>
        <w:rPr>
          <w:rFonts w:ascii="Arial" w:cs="Arial" w:eastAsia="Arial" w:hAnsi="Arial"/>
          <w:sz w:val="16"/>
          <w:szCs w:val="16"/>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91" w:lineRule="exact"/>
        <w:rPr>
          <w:sz w:val="24"/>
          <w:szCs w:val="24"/>
          <w:color w:val="auto"/>
        </w:rPr>
      </w:pPr>
    </w:p>
    <w:p>
      <w:pPr>
        <w:ind w:right="80" w:firstLine="432"/>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70" w:lineRule="exact"/>
        <w:rPr>
          <w:sz w:val="24"/>
          <w:szCs w:val="24"/>
          <w:color w:val="auto"/>
        </w:rPr>
      </w:pPr>
    </w:p>
    <w:p>
      <w:pPr>
        <w:ind w:right="340" w:firstLine="432"/>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100" w:firstLine="432"/>
        <w:spacing w:after="0" w:line="257" w:lineRule="auto"/>
        <w:rPr>
          <w:sz w:val="20"/>
          <w:szCs w:val="20"/>
          <w:color w:val="auto"/>
        </w:rPr>
      </w:pPr>
      <w:r>
        <w:rPr>
          <w:rFonts w:ascii="Arial" w:cs="Arial" w:eastAsia="Arial" w:hAnsi="Arial"/>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This Supplement incorporates into the Prospectus the information contained in our attached current report on Form 8-K which was filed with the Securities and Exchange Commission on February 10, 2022.</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February 9, 2022, the closing price of our Common Shares was $1.64 and the closing price for our Public Warrants was $0.31.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80" w:firstLine="432"/>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62" w:lineRule="exact"/>
        <w:rPr>
          <w:sz w:val="20"/>
          <w:szCs w:val="20"/>
          <w:color w:val="auto"/>
        </w:rPr>
      </w:pPr>
    </w:p>
    <w:p>
      <w:pPr>
        <w:ind w:right="360" w:firstLine="432"/>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 w:name="page4"/>
    <w:bookmarkEnd w:id="3"/>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February 9, 2022, the Board of Directors (the “Board”) of TMC the metals company Inc. (the “Company”) appointed Kathleen McAllister to the Board as an independent director, for a term to continue until the 2022 annual meeting of the Company’s shareholders or until her earlier death, resignation or removal.</w:t>
      </w:r>
    </w:p>
    <w:p>
      <w:pPr>
        <w:spacing w:after="0" w:line="184"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Ms. McAllister, age 57, has over 30 years of experience with diverse leadership roles in global, capital intensive companies in the energy value chain. She served as Director, President and Chief Executive Officer from 2014 to 2016 and as Chief Financial Officer in 2016 of Transocean Partners LLC, an international provider of offshore contract drilling services for oil and gas wells. She held the roles of Vice President and Treasurer from 2011 to 2014 of Transocean Ltd. Prior to 2011, she served in roles with increasing responsibility with finance, information technology, tax and treasury. Ms. McAllister is a member of the board of directors of Black Hills Corporation and Hoegh LNG Partners.</w:t>
      </w:r>
    </w:p>
    <w:p>
      <w:pPr>
        <w:spacing w:after="0" w:line="17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On February 10, 2022, pursuant to the Company’s Nonemployee Director Compensation Policy, Ms. McAllister will be granted restricted stock units under the Company’s 2021 Equity Incentive Plan, the amount of which will equal $100,000 divided by the closing price of the Common Shares on the Nasdaq Stock Market on February 10, 2022. The restricted stock units will vest in equal annual installments over three years from the date of the grant, subject to Ms. McAllister’s continued service on the Board on the applicable vesting dates. Ms. McAllister has also entered into the Company’s standard form of indemnity agreement, the form of which was filed as Exhibit 10.18 to the Company’s Current Report on Form 8-K filed with the Securities and Exchange Commission on September 15, 2021.</w:t>
      </w:r>
    </w:p>
    <w:p>
      <w:pPr>
        <w:spacing w:after="0" w:line="1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There are no arrangements or understandings between Ms. McAllister and any other person pursuant to which Ms. McAllister was selected as a director, nor are there any transactions between Ms. McAllister and the Company in which she has a direct or indirect material interest that the Company is required to report pursuant to the rules and regulations of the Securities and Exchange Commission.</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expects that Ms. McAllister will be appointed to the Audit Committee of the Board (the “Audit Committee”) to serve as its Chair and as the “audit committee financial expert” as such term is defined in Item 407(d)(5) of Regulation S-K on or about April 1, 2022.</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copy of the press release, dated February 10, 2022, announcing Ms. McAllister’s appointment to the Board, is attached as Exhibit 99.1 to this Current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30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94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February 10,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10, 2022</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70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Metals Company Appoints New Independent Board Director &amp; Audit Committee Chair, Achieving 50-50 Gender Parity on Board</w:t>
      </w:r>
    </w:p>
    <w:p>
      <w:pPr>
        <w:spacing w:after="0" w:line="225" w:lineRule="exact"/>
        <w:rPr>
          <w:sz w:val="20"/>
          <w:szCs w:val="20"/>
          <w:color w:val="auto"/>
        </w:rPr>
      </w:pPr>
    </w:p>
    <w:p>
      <w:pPr>
        <w:ind w:left="660" w:right="1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Kathleen McAllister is a seasoned CEO, CFO and Board Director who has held diverse leadership roles in global, capital-intensive companies in the energy value chain, including at Black Hills Corp. (NYSE: BKH), Höegh LNG Partners LP (NYSE: HMLP) and Transocean Partners LLC (NYSE: RIGP)</w:t>
      </w:r>
    </w:p>
    <w:p>
      <w:pPr>
        <w:spacing w:after="0" w:line="183"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McAllister’s appointment – together with earlier appointments of Sheila Khama, Amelia Kinahoi Siamomua and Gina Stryker – brings 50-50 gender parity to the TMC’s boardroom. With just </w:t>
      </w:r>
      <w:r>
        <w:rPr>
          <w:rFonts w:ascii="Arial" w:cs="Arial" w:eastAsia="Arial" w:hAnsi="Arial"/>
          <w:sz w:val="18"/>
          <w:szCs w:val="18"/>
          <w:u w:val="single" w:color="auto"/>
          <w:color w:val="auto"/>
        </w:rPr>
        <w:t>three percent</w:t>
      </w:r>
      <w:r>
        <w:rPr>
          <w:rFonts w:ascii="Arial" w:cs="Arial" w:eastAsia="Arial" w:hAnsi="Arial"/>
          <w:sz w:val="18"/>
          <w:szCs w:val="18"/>
          <w:color w:val="auto"/>
        </w:rPr>
        <w:t xml:space="preserve"> of S&amp;P 500 companies' Boards comprised of 50 percent or more women today, TMC is joining a small but rapidly growing number of companies delivering on gender parity goals</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NEW YORK — Feb 10, 2022 — The Metals Company (NASDAQ: TMC) (the “Company” or “TMC”), an explorer of lower-impact battery metals from seafloor polymetallic nodules, today announced that Kathleen McAllister has been appointed to its Board of Directors as an Independent Director, as it advances its seafloor polymetallic nodule project to supply the world with critical base metals needed for the energy transition.</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Kathleen will first join the Board as a director until April 1, 2022, when it is expected that she will assume the role of TMC Audit Committee Chair with the remit of ensuring rigorous internal controls, quality financial accounting and corporate reporting. Kathleen currently serves as an Independent Director and member of the Audit Committees for electric and gas utility company, Black Hills Corporation (NYSE: BKH), and energy infrastructure provider, Höegh LNG Partners LP (NYSE: HMLP), following a two-year tenure as chair of the Audit and Risk Committee of Maersk Drilling (CPH: DRLCO). In her various executive roles at Transocean Partners LLC (NYSE: RIGP) including President and CEO, Kathleen guided the formation of the company and led the IPO of a 29% interest in the company. She previously served as Vice President of Transocean Ltd. (NYSE: RIG), an international offshore drilling contract services provider, where she led over $20 billion in capital market transactions.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Gerard Barron, Chairman &amp; CEO of The Metals Company, said: “Kathleen brings extensive leadership experience at global, capital-intensive companies across the energy value chain including those specializing in deep ocean operations, and we are thrilled that she has accepted our invitation to join the Board. She brings keen insight and critical oversight to the Company during a crucial development phase. We look forward to Kathleen’s contributions to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TMC the metals company Inc. (The Metals Company) is an explorer of lower-impact battery metals from seafloor polymetallic nodules, on a dual mission:</w:t>
      </w:r>
    </w:p>
    <w:p>
      <w:pPr>
        <w:spacing w:after="0" w:line="46" w:lineRule="exact"/>
        <w:rPr>
          <w:sz w:val="20"/>
          <w:szCs w:val="20"/>
          <w:color w:val="auto"/>
        </w:rPr>
      </w:pPr>
    </w:p>
    <w:p>
      <w:pPr>
        <w:ind w:firstLine="8"/>
        <w:spacing w:after="0" w:line="28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supply metals for the clean energy transition with the least possible negative environmental and social impact and (2) accelerate the transition to a circular metal economy. The company through its subsidiaries holds exploration rights to three polymetallic nodule contract areas in the Clarion Clipperton Zone of the Pacific Ocean regulated by the International Seabed Authority and sponsored by the governments of Nauru, Kiribati and the Kingdom</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of Tonga. 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 </w:t>
      </w:r>
      <w:r>
        <w:rPr>
          <w:rFonts w:ascii="Arial" w:cs="Arial" w:eastAsia="Arial" w:hAnsi="Arial"/>
          <w:sz w:val="18"/>
          <w:szCs w:val="18"/>
          <w:u w:val="single" w:color="auto"/>
          <w:color w:val="auto"/>
        </w:rPr>
        <w:t>media@metals.co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 </w:t>
      </w:r>
      <w:r>
        <w:rPr>
          <w:rFonts w:ascii="Arial" w:cs="Arial" w:eastAsia="Arial" w:hAnsi="Arial"/>
          <w:sz w:val="18"/>
          <w:szCs w:val="18"/>
          <w:u w:val="single" w:color="auto"/>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fluctuations in transportation costs; testing and manufacturing of equipment; risks associated with TMC’s limited operating history; the impact of the COVID-19 pandemic; risks associated with TMC’s intellectual property; and other risks and uncertainties, including those in the “Risk Factors” sections, included in the final prospectus and definitive proxy statement, dated and filed with the Securities and Exchange Commission (the “SEC”) on August 12, 2021 relating to the business combination, in TMC’s Quarterly Report on Form 10-Q for the quarter ended September 30, 2021, filed by TMC with the SEC on November 15, 2021,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4"/>
    </w:lvl>
  </w:abstractNum>
  <w:abstractNum w:abstractNumId="1">
    <w:nsid w:val="625558EC"/>
    <w:multiLevelType w:val="hybridMultilevel"/>
    <w:lvl w:ilvl="0">
      <w:lvlJc w:val="left"/>
      <w:lvlText w:val="(%1)"/>
      <w:numFmt w:val="lowerRoman"/>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2022-02-10T08:10:25Z</dcterms:created>
  <dcterms:modified xsi:type="dcterms:W3CDTF">2022-02-10T08:10:25Z</dcterms:modified>
</cp:coreProperties>
</file>