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Stone Gregory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500"/>
        <w:spacing w:after="0" w:line="395" w:lineRule="auto"/>
        <w:rPr>
          <w:sz w:val="20"/>
          <w:szCs w:val="20"/>
          <w:color w:val="auto"/>
        </w:rPr>
      </w:pPr>
      <w:r>
        <w:rPr>
          <w:rFonts w:ascii="Arial" w:cs="Arial" w:eastAsia="Arial" w:hAnsi="Arial"/>
          <w:sz w:val="16"/>
          <w:szCs w:val="16"/>
          <w:color w:val="0000FF"/>
        </w:rPr>
        <w:t>C/O TMC THE METALS COMPANY INC., 595 HOWE STREET, 10TH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VANCOUVER</w:t>
            </w:r>
          </w:p>
        </w:tc>
        <w:tc>
          <w:tcPr>
            <w:tcW w:w="900" w:type="dxa"/>
            <w:vAlign w:val="bottom"/>
          </w:tcPr>
          <w:p>
            <w:pPr>
              <w:ind w:left="80"/>
              <w:spacing w:after="0"/>
              <w:rPr>
                <w:sz w:val="20"/>
                <w:szCs w:val="20"/>
                <w:color w:val="auto"/>
              </w:rPr>
            </w:pPr>
            <w:r>
              <w:rPr>
                <w:rFonts w:ascii="Arial" w:cs="Arial" w:eastAsia="Arial" w:hAnsi="Arial"/>
                <w:sz w:val="17"/>
                <w:szCs w:val="17"/>
                <w:color w:val="0000FF"/>
              </w:rPr>
              <w:t>A1</w:t>
            </w:r>
          </w:p>
        </w:tc>
        <w:tc>
          <w:tcPr>
            <w:tcW w:w="1600" w:type="dxa"/>
            <w:vAlign w:val="bottom"/>
          </w:tcPr>
          <w:p>
            <w:pPr>
              <w:ind w:left="400"/>
              <w:spacing w:after="0"/>
              <w:rPr>
                <w:sz w:val="20"/>
                <w:szCs w:val="20"/>
                <w:color w:val="auto"/>
              </w:rPr>
            </w:pPr>
            <w:r>
              <w:rPr>
                <w:rFonts w:ascii="Arial" w:cs="Arial" w:eastAsia="Arial" w:hAnsi="Arial"/>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TMC the metals Co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94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400"/>
              <w:spacing w:after="0"/>
              <w:rPr>
                <w:sz w:val="20"/>
                <w:szCs w:val="20"/>
                <w:color w:val="auto"/>
              </w:rPr>
            </w:pPr>
            <w:r>
              <w:rPr>
                <w:rFonts w:ascii="Arial" w:cs="Arial" w:eastAsia="Arial" w:hAnsi="Arial"/>
                <w:sz w:val="17"/>
                <w:szCs w:val="17"/>
                <w:color w:val="0000FF"/>
              </w:rPr>
              <w:t>Chief Ocean Scientist</w:t>
            </w:r>
          </w:p>
        </w:tc>
        <w:tc>
          <w:tcPr>
            <w:tcW w:w="0" w:type="dxa"/>
            <w:vAlign w:val="bottom"/>
          </w:tcPr>
          <w:p>
            <w:pPr>
              <w:spacing w:after="0"/>
              <w:rPr>
                <w:sz w:val="1"/>
                <w:szCs w:val="1"/>
                <w:color w:val="auto"/>
              </w:rPr>
            </w:pPr>
          </w:p>
        </w:tc>
      </w:tr>
      <w:tr>
        <w:trPr>
          <w:trHeight w:val="220"/>
        </w:trPr>
        <w:tc>
          <w:tcPr>
            <w:tcW w:w="2140" w:type="dxa"/>
            <w:vAlign w:val="bottom"/>
            <w:gridSpan w:val="3"/>
          </w:tcPr>
          <w:p>
            <w:pPr>
              <w:ind w:left="80"/>
              <w:spacing w:after="0"/>
              <w:rPr>
                <w:sz w:val="20"/>
                <w:szCs w:val="20"/>
                <w:color w:val="auto"/>
              </w:rPr>
            </w:pPr>
            <w:r>
              <w:rPr>
                <w:rFonts w:ascii="Arial" w:cs="Arial" w:eastAsia="Arial" w:hAnsi="Arial"/>
                <w:sz w:val="17"/>
                <w:szCs w:val="17"/>
                <w:color w:val="0000FF"/>
              </w:rPr>
              <w:t>02/09/2022</w:t>
            </w:r>
          </w:p>
        </w:tc>
        <w:tc>
          <w:tcPr>
            <w:tcW w:w="1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02/09/2022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76,827</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266,153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5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restricted stock units ("RSUs"). Each RSU represents the right to receive one common share upon vesting. The RSUs were granted and vested upon issuance as part of the Issuer's short-term incentive plan.</w:t>
      </w:r>
    </w:p>
    <w:p>
      <w:pPr>
        <w:ind w:left="6580"/>
        <w:spacing w:after="0" w:line="183" w:lineRule="auto"/>
        <w:rPr>
          <w:sz w:val="20"/>
          <w:szCs w:val="20"/>
          <w:color w:val="auto"/>
        </w:rPr>
      </w:pPr>
      <w:r>
        <w:rPr>
          <w:rFonts w:ascii="Arial" w:cs="Arial" w:eastAsia="Arial" w:hAnsi="Arial"/>
          <w:sz w:val="17"/>
          <w:szCs w:val="17"/>
          <w:color w:val="0000FF"/>
        </w:rPr>
        <w:t xml:space="preserve">/s/ Jeffrey Cohan, Attorney-in- </w:t>
      </w:r>
      <w:r>
        <w:rPr>
          <w:rFonts w:ascii="Arial" w:cs="Arial" w:eastAsia="Arial" w:hAnsi="Arial"/>
          <w:sz w:val="32"/>
          <w:szCs w:val="32"/>
          <w:color w:val="0000FF"/>
          <w:vertAlign w:val="subscript"/>
        </w:rPr>
        <w:t>02/22/2022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4441"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2022-02-22T06:12:45Z</dcterms:created>
  <dcterms:modified xsi:type="dcterms:W3CDTF">2022-02-22T06:12:45Z</dcterms:modified>
</cp:coreProperties>
</file>