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Gedeon Christelle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2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CLO &amp; Corporate Secretary</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02/09/2022</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47,113</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312,738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25,219</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287,519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from the Reporting Person's RSU award to cover the tax withholding obligation that arose from the grant on February 9, 2022.</w:t>
      </w:r>
    </w:p>
    <w:p>
      <w:pPr>
        <w:ind w:left="6580"/>
        <w:spacing w:after="0" w:line="186"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4"/>
          <w:szCs w:val="34"/>
          <w:color w:val="0000FF"/>
          <w:vertAlign w:val="subscript"/>
        </w:rPr>
        <w:t>02/22/2022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6836"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2022-02-22T07:13:45Z</dcterms:created>
  <dcterms:modified xsi:type="dcterms:W3CDTF">2022-02-22T07:13:45Z</dcterms:modified>
</cp:coreProperties>
</file>