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Shesky Craig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0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02/09/2022</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50,130</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686,175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02/09/2022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22,859</w:t>
            </w:r>
            <w:r>
              <w:rPr>
                <w:rFonts w:ascii="Arial" w:cs="Arial" w:eastAsia="Arial" w:hAnsi="Arial"/>
                <w:sz w:val="22"/>
                <w:szCs w:val="22"/>
                <w:color w:val="008000"/>
                <w:w w:val="85"/>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1.64</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663,316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92,908 Common Shares received in a pro rata distribution from Empire, A Series of Cathode Holdings, LLC, in which the Reporting Person does not have a controlling interest, to its members on November 1, 2021.</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from the Reporting Person's RSU award to cover the tax withholding obligation that arose from the grant on February 9, 2022.</w:t>
      </w:r>
    </w:p>
    <w:p>
      <w:pPr>
        <w:ind w:left="6580"/>
        <w:spacing w:after="0" w:line="186"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4"/>
          <w:szCs w:val="34"/>
          <w:color w:val="0000FF"/>
          <w:vertAlign w:val="subscript"/>
        </w:rPr>
        <w:t>02/22/2022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30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2022-02-22T07:14:31Z</dcterms:created>
  <dcterms:modified xsi:type="dcterms:W3CDTF">2022-02-22T07:14:31Z</dcterms:modified>
</cp:coreProperties>
</file>