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without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87261Y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Gerard Barron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TMC the metals company Inc.</w:t>
      </w:r>
    </w:p>
    <w:p>
      <w:pPr>
        <w:jc w:val="center"/>
        <w:ind w:right="-19"/>
        <w:spacing w:after="0" w:line="192"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Vancouver, British Columbia, Canada V6C2T5</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(574) 252-9333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 Fantozzi,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Daniel T. Kajunski,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Massachusetts 02111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9,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jc w:val="both"/>
        <w:ind w:left="100" w:hanging="93"/>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21" w:lineRule="exact"/>
        <w:rPr>
          <w:sz w:val="20"/>
          <w:szCs w:val="20"/>
          <w:color w:val="auto"/>
        </w:rPr>
      </w:pPr>
    </w:p>
    <w:p>
      <w:pPr>
        <w:ind w:left="20"/>
        <w:spacing w:after="0"/>
        <w:tabs>
          <w:tab w:leader="none" w:pos="734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6"/>
          <w:szCs w:val="16"/>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465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465955"/>
                    </a:xfrm>
                    <a:prstGeom prst="rect">
                      <a:avLst/>
                    </a:prstGeom>
                    <a:noFill/>
                  </pic:spPr>
                </pic:pic>
              </a:graphicData>
            </a:graphic>
          </wp:anchor>
        </w:drawing>
      </w:r>
    </w:p>
    <w:p>
      <w:pPr>
        <w:spacing w:after="0" w:line="263" w:lineRule="exact"/>
        <w:rPr>
          <w:sz w:val="20"/>
          <w:szCs w:val="20"/>
          <w:color w:val="auto"/>
        </w:rPr>
      </w:pPr>
    </w:p>
    <w:p>
      <w:pPr>
        <w:ind w:left="460" w:right="8100" w:hanging="321"/>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 Gerard Barron</w:t>
      </w:r>
    </w:p>
    <w:p>
      <w:pPr>
        <w:spacing w:after="0" w:line="8" w:lineRule="exact"/>
        <w:rPr>
          <w:sz w:val="20"/>
          <w:szCs w:val="20"/>
          <w:color w:val="auto"/>
        </w:rPr>
      </w:pPr>
    </w:p>
    <w:p>
      <w:pPr>
        <w:ind w:left="460" w:hanging="321"/>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4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49" w:lineRule="exact"/>
        <w:rPr>
          <w:sz w:val="20"/>
          <w:szCs w:val="20"/>
          <w:color w:val="auto"/>
        </w:rPr>
      </w:pPr>
    </w:p>
    <w:p>
      <w:pPr>
        <w:ind w:left="460" w:hanging="321"/>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63" w:lineRule="exact"/>
        <w:rPr>
          <w:sz w:val="20"/>
          <w:szCs w:val="20"/>
          <w:color w:val="auto"/>
        </w:rPr>
      </w:pPr>
    </w:p>
    <w:p>
      <w:pPr>
        <w:ind w:left="460" w:right="9160" w:hanging="321"/>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PF</w:t>
      </w:r>
      <w:r>
        <w:rPr>
          <w:rFonts w:ascii="Arial" w:cs="Arial" w:eastAsia="Arial" w:hAnsi="Arial"/>
          <w:sz w:val="29"/>
          <w:szCs w:val="29"/>
          <w:color w:val="auto"/>
          <w:vertAlign w:val="superscript"/>
        </w:rPr>
        <w:t>1</w:t>
      </w:r>
    </w:p>
    <w:p>
      <w:pPr>
        <w:spacing w:after="0" w:line="2" w:lineRule="exact"/>
        <w:rPr>
          <w:sz w:val="20"/>
          <w:szCs w:val="20"/>
          <w:color w:val="auto"/>
        </w:rPr>
      </w:pPr>
    </w:p>
    <w:p>
      <w:pPr>
        <w:ind w:left="460" w:hanging="32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 w:lineRule="exact"/>
        <w:rPr>
          <w:rFonts w:ascii="Arial" w:cs="Arial" w:eastAsia="Arial" w:hAnsi="Arial"/>
          <w:sz w:val="18"/>
          <w:szCs w:val="18"/>
          <w:color w:val="auto"/>
        </w:rPr>
      </w:pPr>
    </w:p>
    <w:p>
      <w:pPr>
        <w:ind w:left="4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81" w:lineRule="exact"/>
        <w:rPr>
          <w:sz w:val="20"/>
          <w:szCs w:val="20"/>
          <w:color w:val="auto"/>
        </w:rPr>
      </w:pPr>
    </w:p>
    <w:p>
      <w:pPr>
        <w:ind w:left="460" w:right="7100" w:hanging="321"/>
        <w:spacing w:after="0" w:line="27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Australia</w:t>
      </w:r>
    </w:p>
    <w:tbl>
      <w:tblPr>
        <w:tblLayout w:type="fixed"/>
        <w:tblInd w:w="0" w:type="dxa"/>
        <w:tblCellMar>
          <w:top w:w="0" w:type="dxa"/>
          <w:left w:w="0" w:type="dxa"/>
          <w:bottom w:w="0" w:type="dxa"/>
          <w:right w:w="0" w:type="dxa"/>
        </w:tblCellMar>
      </w:tblPr>
      <w:tr>
        <w:trPr>
          <w:trHeight w:val="213"/>
        </w:trPr>
        <w:tc>
          <w:tcPr>
            <w:tcW w:w="2600" w:type="dxa"/>
            <w:vAlign w:val="bottom"/>
            <w:tcBorders>
              <w:top w:val="single" w:sz="8" w:color="auto"/>
              <w:right w:val="single" w:sz="8" w:color="auto"/>
            </w:tcBorders>
          </w:tcPr>
          <w:p>
            <w:pPr>
              <w:spacing w:after="0"/>
              <w:rPr>
                <w:sz w:val="18"/>
                <w:szCs w:val="18"/>
                <w:color w:val="auto"/>
              </w:rPr>
            </w:pPr>
          </w:p>
        </w:tc>
        <w:tc>
          <w:tcPr>
            <w:tcW w:w="5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w:t>
            </w:r>
          </w:p>
        </w:tc>
        <w:tc>
          <w:tcPr>
            <w:tcW w:w="8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6"/>
        </w:trPr>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spacing w:after="0"/>
              <w:rPr>
                <w:sz w:val="19"/>
                <w:szCs w:val="19"/>
                <w:color w:val="auto"/>
              </w:rPr>
            </w:pPr>
          </w:p>
        </w:tc>
        <w:tc>
          <w:tcPr>
            <w:tcW w:w="8080" w:type="dxa"/>
            <w:vAlign w:val="bottom"/>
          </w:tcPr>
          <w:p>
            <w:pPr>
              <w:ind w:left="120"/>
              <w:spacing w:after="0" w:line="226" w:lineRule="exact"/>
              <w:rPr>
                <w:sz w:val="20"/>
                <w:szCs w:val="20"/>
                <w:color w:val="auto"/>
              </w:rPr>
            </w:pPr>
            <w:r>
              <w:rPr>
                <w:rFonts w:ascii="Arial" w:cs="Arial" w:eastAsia="Arial" w:hAnsi="Arial"/>
                <w:sz w:val="16"/>
                <w:szCs w:val="16"/>
                <w:color w:val="auto"/>
              </w:rPr>
              <w:t>18,654,997 shares of Common Shares</w:t>
            </w:r>
            <w:r>
              <w:rPr>
                <w:rFonts w:ascii="Arial" w:cs="Arial" w:eastAsia="Arial" w:hAnsi="Arial"/>
                <w:sz w:val="26"/>
                <w:szCs w:val="26"/>
                <w:color w:val="auto"/>
                <w:vertAlign w:val="superscript"/>
              </w:rPr>
              <w:t>1</w:t>
            </w:r>
          </w:p>
        </w:tc>
        <w:tc>
          <w:tcPr>
            <w:tcW w:w="0" w:type="dxa"/>
            <w:vAlign w:val="bottom"/>
          </w:tcPr>
          <w:p>
            <w:pPr>
              <w:spacing w:after="0"/>
              <w:rPr>
                <w:sz w:val="1"/>
                <w:szCs w:val="1"/>
                <w:color w:val="auto"/>
              </w:rPr>
            </w:pPr>
          </w:p>
        </w:tc>
      </w:tr>
      <w:tr>
        <w:trPr>
          <w:trHeight w:val="75"/>
        </w:trPr>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6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60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vMerge w:val="restart"/>
          </w:tcPr>
          <w:p>
            <w:pPr>
              <w:ind w:left="100"/>
              <w:spacing w:after="0" w:line="201" w:lineRule="exact"/>
              <w:rPr>
                <w:sz w:val="20"/>
                <w:szCs w:val="20"/>
                <w:color w:val="auto"/>
              </w:rPr>
            </w:pPr>
            <w:r>
              <w:rPr>
                <w:rFonts w:ascii="Arial" w:cs="Arial" w:eastAsia="Arial" w:hAnsi="Arial"/>
                <w:sz w:val="18"/>
                <w:szCs w:val="18"/>
                <w:color w:val="auto"/>
              </w:rPr>
              <w:t>8</w:t>
            </w:r>
          </w:p>
        </w:tc>
        <w:tc>
          <w:tcPr>
            <w:tcW w:w="8080" w:type="dxa"/>
            <w:vAlign w:val="bottom"/>
            <w:vMerge w:val="restart"/>
          </w:tcPr>
          <w:p>
            <w:pPr>
              <w:ind w:left="12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1"/>
        </w:trPr>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00" w:type="dxa"/>
            <w:vAlign w:val="bottom"/>
            <w:tcBorders>
              <w:right w:val="single" w:sz="8" w:color="auto"/>
            </w:tcBorders>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8080" w:type="dxa"/>
            <w:vAlign w:val="bottom"/>
            <w:vMerge w:val="restart"/>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95"/>
        </w:trPr>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600" w:type="dxa"/>
            <w:vAlign w:val="bottom"/>
            <w:tcBorders>
              <w:right w:val="single" w:sz="8" w:color="auto"/>
            </w:tcBorders>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260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ind w:left="100"/>
              <w:spacing w:after="0" w:line="206" w:lineRule="exact"/>
              <w:rPr>
                <w:sz w:val="20"/>
                <w:szCs w:val="20"/>
                <w:color w:val="auto"/>
              </w:rPr>
            </w:pPr>
            <w:r>
              <w:rPr>
                <w:rFonts w:ascii="Arial" w:cs="Arial" w:eastAsia="Arial" w:hAnsi="Arial"/>
                <w:sz w:val="18"/>
                <w:szCs w:val="18"/>
                <w:color w:val="auto"/>
              </w:rPr>
              <w:t>9</w:t>
            </w:r>
          </w:p>
        </w:tc>
        <w:tc>
          <w:tcPr>
            <w:tcW w:w="8080" w:type="dxa"/>
            <w:vAlign w:val="bottom"/>
            <w:vMerge w:val="restart"/>
          </w:tcPr>
          <w:p>
            <w:pPr>
              <w:ind w:left="120"/>
              <w:spacing w:after="0" w:line="206"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9"/>
        </w:trPr>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vMerge w:val="continue"/>
          </w:tcPr>
          <w:p>
            <w:pPr>
              <w:spacing w:after="0"/>
              <w:rPr>
                <w:sz w:val="12"/>
                <w:szCs w:val="12"/>
                <w:color w:val="auto"/>
              </w:rPr>
            </w:pPr>
          </w:p>
        </w:tc>
        <w:tc>
          <w:tcPr>
            <w:tcW w:w="8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00" w:type="dxa"/>
            <w:vAlign w:val="bottom"/>
            <w:tcBorders>
              <w:right w:val="single" w:sz="8" w:color="auto"/>
            </w:tcBorders>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80" w:type="dxa"/>
            <w:vAlign w:val="bottom"/>
            <w:vMerge w:val="restart"/>
          </w:tcPr>
          <w:p>
            <w:pPr>
              <w:ind w:left="120"/>
              <w:spacing w:after="0" w:line="294" w:lineRule="exact"/>
              <w:rPr>
                <w:sz w:val="20"/>
                <w:szCs w:val="20"/>
                <w:color w:val="auto"/>
              </w:rPr>
            </w:pPr>
            <w:r>
              <w:rPr>
                <w:rFonts w:ascii="Arial" w:cs="Arial" w:eastAsia="Arial" w:hAnsi="Arial"/>
                <w:sz w:val="18"/>
                <w:szCs w:val="18"/>
                <w:color w:val="auto"/>
              </w:rPr>
              <w:t>18,654,997 shares of Common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24"/>
        </w:trPr>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bottom w:val="single" w:sz="8" w:color="auto"/>
              <w:right w:val="single" w:sz="8" w:color="auto"/>
            </w:tcBorders>
          </w:tcPr>
          <w:p>
            <w:pPr>
              <w:spacing w:after="0"/>
              <w:rPr>
                <w:sz w:val="19"/>
                <w:szCs w:val="19"/>
                <w:color w:val="auto"/>
              </w:rPr>
            </w:pPr>
          </w:p>
        </w:tc>
        <w:tc>
          <w:tcPr>
            <w:tcW w:w="8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PERSON WITH</w:t>
            </w:r>
          </w:p>
        </w:tc>
        <w:tc>
          <w:tcPr>
            <w:tcW w:w="5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10</w:t>
            </w:r>
          </w:p>
        </w:tc>
        <w:tc>
          <w:tcPr>
            <w:tcW w:w="8080" w:type="dxa"/>
            <w:vAlign w:val="bottom"/>
          </w:tcPr>
          <w:p>
            <w:pPr>
              <w:ind w:left="12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6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80" w:type="dxa"/>
            <w:vAlign w:val="bottom"/>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4"/>
        </w:trPr>
        <w:tc>
          <w:tcPr>
            <w:tcW w:w="26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ind w:left="460" w:right="4220" w:hanging="363"/>
        <w:spacing w:after="0" w:line="26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18,654,997 shares of Common Shares</w:t>
      </w:r>
    </w:p>
    <w:p>
      <w:pPr>
        <w:spacing w:after="0" w:line="23" w:lineRule="exact"/>
        <w:rPr>
          <w:rFonts w:ascii="Arial" w:cs="Arial" w:eastAsia="Arial" w:hAnsi="Arial"/>
          <w:sz w:val="18"/>
          <w:szCs w:val="18"/>
          <w:color w:val="auto"/>
        </w:rPr>
      </w:pPr>
    </w:p>
    <w:p>
      <w:pPr>
        <w:ind w:left="460" w:hanging="36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8" w:lineRule="exact"/>
        <w:rPr>
          <w:rFonts w:ascii="Arial" w:cs="Arial" w:eastAsia="Arial" w:hAnsi="Arial"/>
          <w:sz w:val="18"/>
          <w:szCs w:val="18"/>
          <w:color w:val="auto"/>
        </w:rPr>
      </w:pPr>
    </w:p>
    <w:p>
      <w:pPr>
        <w:ind w:left="4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80" w:lineRule="exact"/>
        <w:rPr>
          <w:rFonts w:ascii="Arial" w:cs="Arial" w:eastAsia="Arial" w:hAnsi="Arial"/>
          <w:sz w:val="18"/>
          <w:szCs w:val="18"/>
          <w:color w:val="auto"/>
        </w:rPr>
      </w:pPr>
    </w:p>
    <w:p>
      <w:pPr>
        <w:ind w:left="460" w:right="5640" w:hanging="36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[__] % of the Common Shares</w:t>
      </w:r>
      <w:r>
        <w:rPr>
          <w:rFonts w:ascii="Arial" w:cs="Arial" w:eastAsia="Arial" w:hAnsi="Arial"/>
          <w:sz w:val="29"/>
          <w:szCs w:val="29"/>
          <w:color w:val="auto"/>
          <w:vertAlign w:val="superscript"/>
        </w:rPr>
        <w:t>2</w:t>
      </w:r>
    </w:p>
    <w:p>
      <w:pPr>
        <w:spacing w:after="0" w:line="2" w:lineRule="exact"/>
        <w:rPr>
          <w:rFonts w:ascii="Arial" w:cs="Arial" w:eastAsia="Arial" w:hAnsi="Arial"/>
          <w:sz w:val="18"/>
          <w:szCs w:val="18"/>
          <w:color w:val="auto"/>
        </w:rPr>
      </w:pPr>
    </w:p>
    <w:p>
      <w:pPr>
        <w:ind w:left="460" w:right="8280" w:hanging="367"/>
        <w:spacing w:after="0" w:line="25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0" w:lineRule="exact"/>
        <w:rPr>
          <w:sz w:val="20"/>
          <w:szCs w:val="20"/>
          <w:color w:val="auto"/>
        </w:rPr>
      </w:pPr>
    </w:p>
    <w:p>
      <w:pPr>
        <w:spacing w:after="0" w:line="270" w:lineRule="exact"/>
        <w:rPr>
          <w:sz w:val="20"/>
          <w:szCs w:val="20"/>
          <w:color w:val="auto"/>
        </w:rPr>
      </w:pPr>
    </w:p>
    <w:p>
      <w:pPr>
        <w:jc w:val="both"/>
        <w:ind w:left="100" w:hanging="93"/>
        <w:spacing w:after="0" w:line="255" w:lineRule="auto"/>
        <w:rPr>
          <w:sz w:val="20"/>
          <w:szCs w:val="20"/>
          <w:color w:val="auto"/>
        </w:rPr>
      </w:pPr>
      <w:r>
        <w:rPr>
          <w:rFonts w:ascii="Arial" w:cs="Arial" w:eastAsia="Arial" w:hAnsi="Arial"/>
          <w:sz w:val="18"/>
          <w:szCs w:val="18"/>
          <w:color w:val="auto"/>
        </w:rPr>
        <w:t>1Consists of (i) 14,487,559 Common Shares, (ii) 4,078,044 Common Shares underlying options that are exercisable within 60 days of February 22, 2022, and (iii) 89,394 Common Shares underlying warrants. Does not include (i) up to 781,250 restricted stock units, each representing the right to receive one Common Share upon vesting, which vest in three equal annual installments beginning on November 22, 2024 and ending on November 22, 2024 and (ii)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92" w:lineRule="exact"/>
        <w:rPr>
          <w:sz w:val="20"/>
          <w:szCs w:val="20"/>
          <w:color w:val="auto"/>
        </w:rPr>
      </w:pPr>
    </w:p>
    <w:p>
      <w:pPr>
        <w:jc w:val="both"/>
        <w:ind w:left="100" w:hanging="93"/>
        <w:spacing w:after="0" w:line="277" w:lineRule="auto"/>
        <w:rPr>
          <w:sz w:val="20"/>
          <w:szCs w:val="20"/>
          <w:color w:val="auto"/>
        </w:rPr>
      </w:pPr>
      <w:r>
        <w:rPr>
          <w:rFonts w:ascii="Arial" w:cs="Arial" w:eastAsia="Arial" w:hAnsi="Arial"/>
          <w:sz w:val="18"/>
          <w:szCs w:val="18"/>
          <w:color w:val="auto"/>
        </w:rPr>
        <w:t>2Calculated based on 225,259,277 Common Shares issued and outstanding as of November 12, 2021, as reported in the Issuer’s Quarterly Report on Form 10-Q filed on 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21" w:lineRule="exact"/>
        <w:rPr>
          <w:sz w:val="20"/>
          <w:szCs w:val="20"/>
          <w:color w:val="auto"/>
        </w:rPr>
      </w:pPr>
    </w:p>
    <w:p>
      <w:pPr>
        <w:ind w:left="20"/>
        <w:spacing w:after="0"/>
        <w:tabs>
          <w:tab w:leader="none" w:pos="734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6"/>
          <w:szCs w:val="16"/>
          <w:color w:val="auto"/>
        </w:rPr>
        <w:t>Page 3 of 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4 TO SCHEDULE 13D</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Amendment No. 4 to Schedule 13D (this “</w:t>
      </w:r>
      <w:r>
        <w:rPr>
          <w:rFonts w:ascii="Arial" w:cs="Arial" w:eastAsia="Arial" w:hAnsi="Arial"/>
          <w:sz w:val="17"/>
          <w:szCs w:val="17"/>
          <w:u w:val="single" w:color="auto"/>
          <w:color w:val="auto"/>
        </w:rPr>
        <w:t>Amendment</w:t>
      </w:r>
      <w:r>
        <w:rPr>
          <w:rFonts w:ascii="Arial" w:cs="Arial" w:eastAsia="Arial" w:hAnsi="Arial"/>
          <w:sz w:val="17"/>
          <w:szCs w:val="17"/>
          <w:color w:val="auto"/>
        </w:rPr>
        <w:t>”) relates to the common shares, no par value (the “Common Shares”) of TMC the metals company Inc. (f/k/a Sustainable Opportunities Acquisition Corp.), a company existing under the laws of British Columbia (the “Issuer”), and amends the Schedule 13D filed with the Securities and Exchange Commission on September 9, 2021, as subsequently amended on October 7, 2021, on November 30, 2021 and on December 29, 2021 (the “Schedule 13D”), by Gerard Barron (the “Reporting Person”).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otherwise specified in this Amendment, all items left blank remain unchanged in all material respects and any items which are reported are deemed to amend and restate the corresponding items in the Schedule 13D. Capitalized terms used herein but not defined herein have the respective meanings ascribed to them in the Schedule 13D.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is hereby supplemented by adding the following at the end thereof:</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9, 2022, the Reporting Person acquired 180,869 Common Shares as part of the Issuer’s short-term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of the Schedule 13D is hereby amended and restated in its entirety as follows: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14,209,752 Common Shares beneficially owned by the Reporting Person were received in connection with the September 9, 2021 completion of the initial business combination (the “Business Combination”) of Sustainable Opportunities Acquisition Corp. (the former name of the Issuer) with DeepGreen Metals Inc., 34,000 Common Shares beneficially owned by the Reporting Person were subsequently acquired by the Reporting Person on September 30, 2021, 15,500 Common Shares beneficially owned by the Reporting Person were subsequently acquired by the Reporting Person on November 22, 2021, 47,438 Common Shares and warrants to purchase 89,394 Common Shares beneficially owned by the Reporting Person were subsequently acquired by the Reporting Person on December 24, 2021 and 180,869 Common Shares beneficially owned by the Reporting Person were subsequently acquired by the Reporting Person on February 9, 2022 .</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Reporting Person serves as the Chief Executive Officer and Chairman of the Board of Directors of the Issuer, and, in such capacity, may have influence over the corporate activities of the Issuer, including activities which may relate to items described in subparagraphs (a) through (j) of Item 4 of Schedule 13D.</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his position and/or change his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SCHEDULE 13D</w:t>
      </w:r>
    </w:p>
    <w:p>
      <w:pPr>
        <w:spacing w:after="0" w:line="221" w:lineRule="exact"/>
        <w:rPr>
          <w:sz w:val="20"/>
          <w:szCs w:val="20"/>
          <w:color w:val="auto"/>
        </w:rPr>
      </w:pPr>
    </w:p>
    <w:p>
      <w:pPr>
        <w:ind w:left="20"/>
        <w:spacing w:after="0"/>
        <w:tabs>
          <w:tab w:leader="none" w:pos="734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6"/>
          <w:szCs w:val="16"/>
          <w:color w:val="auto"/>
        </w:rPr>
        <w:t>Page 4 of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of the Schedule 13D is hereby amended and restated in its entirety as follows: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Reporting Person holds (i) 14,487,559 Common Shares and (ii) 4,078,044 Common Shares underlying options that are exercisable within 60 days of February 22, 2022, and (iii) 89,394 Common Shares underlying warrants to purchase Common Shares at $11.50 per share that are exercisable pursuant to that certain Warrant Agreement dated as of May 8, 2020 by and between the Issuer and Continental Stock Transfer &amp; Trust Company, as warrant agent. The Reporting Person also holds 2,275,334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 Excludes the Special Shares held by the Reporting Person. The Reporting Person also holds 781,250 restricted stock units, each representing the right to receive one Common Share upon vesting, granted to the Reporting Person on November 22, 2021 under the Issuer's 2021 Equity Incentive Plan, which vest in three equal annual installments beginning on November 22, 2022 and ending on November 22, 2024, subject to the continued service to the Issuer of the Reporting Person through the applicable vesting dates. The Reporting Person also has the right to purchase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8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the Issuer held by them during the lock-up periods described therein and (b) 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the Issuer will pay certain expenses relating to such registrations and indemnify the registration rights holders against (or make contributions in respect of) certain liabilities.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13D</w:t>
      </w:r>
    </w:p>
    <w:p>
      <w:pPr>
        <w:spacing w:after="0" w:line="221" w:lineRule="exact"/>
        <w:rPr>
          <w:sz w:val="20"/>
          <w:szCs w:val="20"/>
          <w:color w:val="auto"/>
        </w:rPr>
      </w:pPr>
    </w:p>
    <w:p>
      <w:pPr>
        <w:ind w:left="20"/>
        <w:spacing w:after="0"/>
        <w:tabs>
          <w:tab w:leader="none" w:pos="734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6"/>
          <w:szCs w:val="16"/>
          <w:color w:val="auto"/>
        </w:rPr>
        <w:t>Page 5 of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hereby certifies that the information set forth in this statement is true, complete and correct.</w:t>
      </w:r>
    </w:p>
    <w:p>
      <w:pPr>
        <w:spacing w:after="0" w:line="170" w:lineRule="exact"/>
        <w:rPr>
          <w:sz w:val="20"/>
          <w:szCs w:val="20"/>
          <w:color w:val="auto"/>
        </w:rPr>
      </w:pPr>
    </w:p>
    <w:p>
      <w:pPr>
        <w:ind w:left="340"/>
        <w:spacing w:after="0"/>
        <w:tabs>
          <w:tab w:leader="none" w:pos="7080" w:val="left"/>
        </w:tabs>
        <w:rPr>
          <w:sz w:val="20"/>
          <w:szCs w:val="20"/>
          <w:color w:val="auto"/>
        </w:rPr>
      </w:pPr>
      <w:r>
        <w:rPr>
          <w:rFonts w:ascii="Arial" w:cs="Arial" w:eastAsia="Arial" w:hAnsi="Arial"/>
          <w:sz w:val="18"/>
          <w:szCs w:val="18"/>
          <w:color w:val="auto"/>
        </w:rPr>
        <w:t>Dated: February 22, 2022</w:t>
      </w:r>
      <w:r>
        <w:rPr>
          <w:sz w:val="20"/>
          <w:szCs w:val="20"/>
          <w:color w:val="auto"/>
        </w:rPr>
        <w:tab/>
      </w:r>
      <w:r>
        <w:rPr>
          <w:rFonts w:ascii="Arial" w:cs="Arial" w:eastAsia="Arial" w:hAnsi="Arial"/>
          <w:sz w:val="16"/>
          <w:szCs w:val="16"/>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2623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23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4"/>
      <w:numFmt w:val="bullet"/>
      <w:start w:val="1"/>
    </w:lvl>
  </w:abstractNum>
  <w:abstractNum w:abstractNumId="4">
    <w:nsid w:val="507ED7AB"/>
    <w:multiLevelType w:val="hybridMultilevel"/>
    <w:lvl w:ilvl="0">
      <w:lvlJc w:val="left"/>
      <w:lvlText w:val="5"/>
      <w:numFmt w:val="bullet"/>
      <w:start w:val="1"/>
    </w:lvl>
  </w:abstractNum>
  <w:abstractNum w:abstractNumId="5">
    <w:nsid w:val="2EB141F2"/>
    <w:multiLevelType w:val="hybridMultilevel"/>
    <w:lvl w:ilvl="0">
      <w:lvlJc w:val="left"/>
      <w:lvlText w:val="6"/>
      <w:numFmt w:val="bullet"/>
      <w:start w:val="1"/>
    </w:lvl>
  </w:abstractNum>
  <w:abstractNum w:abstractNumId="6">
    <w:nsid w:val="41B71EF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2022-02-22T08:29:19Z</dcterms:created>
  <dcterms:modified xsi:type="dcterms:W3CDTF">2022-02-22T08:29:19Z</dcterms:modified>
</cp:coreProperties>
</file>