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292"/>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March 14, 2022, TMC the metals company Inc. (the “Company”) entered into a non-binding memorandum of understanding (the “Memorandum of Understanding”) with Epsilon Carbon Pvt, LTD. (“Epsilon”). Epsilon expressed its intent in the Memorandum of Understanding to prepare a pre-feasibility report for the potential construction and operation of a plant in India to process polymetallic nodules from the seafloor and to potentially finance, permit, construct and operate the plant. The Memorandum of Understanding contemplates, among other things, the successful completion of the pre-feasibility report and the Company and Epsilon to execute a binding Heads of Terms satisfactory to each, which is expected to form the basis of the subsequent definitive agreement(s), to move forward with the potential permitting, construction, operation and supply of the proposed plant. There can be no assurance that the Company will enter into such Heads of Terms or subsequent definitive agreement(s) in a particular time period, or at all, or on terms similar to those set forth in the Memorandum of Understanding, or that if such Heads of Terms or definitive agreement(s) are entered into by the Company that the proposed plant will be financed, permitted, constructed, operated or supplied in a particular time period, or at all, or successfully.</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Under a binding provision of the Memorandum of Understanding, each of the Company and Epsilon have agreed not to enter into any binding agreements with any other third party for the construction and operation of a processing plant for polymetallic nodules through the earlier of the Company and Epsilon entering into the Heads of Terms contemplated by the Memorandum of Understanding and March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Certain statements made in this Current Report on Form 8-K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Company’s ability to enter into the Heads of Terms and any subsequent definitive agreement(s) with Epsilon to construct, operate and supply the potential processing plant in India on terms and conditionals substantially similar to those set forth in the Memorandum of Understanding; the successful completion of the pre-feasibility report; the Company’s ability to obtain exploitation contracts for its areas in the Clarion Clipperton Zone (“CCZ”); the Company and Epsilon’s ability to secure binding offtake arrangements for the proposed plant’s production on acceptable terms and in sufficient quantities; regulatory uncertainties and the impact of government regulation and political instability on the Company’s resource activities; changes to any of the laws, rules, regulations or policies to which the Company is subject; the impact of extensive and costly environmental requirements on the Company’s operations; environmental liabilities; the impact of polymetallic nodule collection on biodiversity in the CCZ and recovery rates of impacted ecosystems; the Company’s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the successful permitting, completion and operation of the proposed plant in India; fluctuations in transportation costs; testing and manufacturing of equipment; risks associated with the Company’s limited operating history; the impact of the COVID-19 pandemic; risks associated with the Company’s intellectual property; and other risks and uncertainties, including those under Item 1A “Risk Factors” in the Company’s Quarterly Report on Form 10-Q for the quarter ended September 30, 2021, filed by the Company with the Securities and Exchange Commission (“SEC”) on November 15, 2021, and in the Company’s other future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3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340" w:type="dxa"/>
            <w:vAlign w:val="bottom"/>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Non-Binding Memorandum of Understanding, dated March 14, 2022, by and between TMC the metals company Inc. and Epsilon</w:t>
              </w:r>
            </w:hyperlink>
          </w:p>
        </w:tc>
      </w:tr>
      <w:tr>
        <w:trPr>
          <w:trHeight w:val="196"/>
        </w:trPr>
        <w:tc>
          <w:tcPr>
            <w:tcW w:w="4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93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Carbon Pvt. LTD.</w:t>
              </w:r>
            </w:hyperlink>
          </w:p>
        </w:tc>
      </w:tr>
      <w:tr>
        <w:trPr>
          <w:trHeight w:val="20"/>
        </w:trPr>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52"/>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180" w:right="220" w:hanging="172"/>
        <w:spacing w:after="0" w:line="263" w:lineRule="auto"/>
        <w:tabs>
          <w:tab w:leader="none" w:pos="153"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Item 601(b)(10)(iv) of Regulation S-K promulgated by the Securities and Exchange Commission, certain portions of this exhibit have been redacted. TMC the metals company Inc. hereby agrees to furnish supplementally to the Securities and Exchange Commission, upon its request, an unredacted copy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17, 2022</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Gerard Barron</w:t>
            </w:r>
          </w:p>
        </w:tc>
      </w:tr>
      <w:tr>
        <w:trPr>
          <w:trHeight w:val="20"/>
        </w:trPr>
        <w:tc>
          <w:tcPr>
            <w:tcW w:w="3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620" w:type="dxa"/>
            <w:vAlign w:val="bottom"/>
          </w:tcPr>
          <w:p>
            <w:pPr>
              <w:spacing w:after="0"/>
              <w:rPr>
                <w:sz w:val="15"/>
                <w:szCs w:val="15"/>
                <w:color w:val="auto"/>
              </w:rPr>
            </w:pPr>
          </w:p>
        </w:tc>
        <w:tc>
          <w:tcPr>
            <w:tcW w:w="7620" w:type="dxa"/>
            <w:vAlign w:val="bottom"/>
            <w:gridSpan w:val="2"/>
          </w:tcPr>
          <w:p>
            <w:pPr>
              <w:ind w:left="202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Memorandum of Understanding</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Business Collaboration to Establish the World’s First Commercial Nodule Processing Plant in India to Serve Battery Cathode and Steel Manufacturing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This Memorandum of Understanding (the “</w:t>
      </w:r>
      <w:r>
        <w:rPr>
          <w:rFonts w:ascii="Arial" w:cs="Arial" w:eastAsia="Arial" w:hAnsi="Arial"/>
          <w:sz w:val="18"/>
          <w:szCs w:val="18"/>
          <w:b w:val="1"/>
          <w:bCs w:val="1"/>
          <w:color w:val="auto"/>
        </w:rPr>
        <w:t>MOU</w:t>
      </w:r>
      <w:r>
        <w:rPr>
          <w:rFonts w:ascii="Arial" w:cs="Arial" w:eastAsia="Arial" w:hAnsi="Arial"/>
          <w:sz w:val="18"/>
          <w:szCs w:val="18"/>
          <w:color w:val="auto"/>
        </w:rPr>
        <w:t>”) is made on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2022 between:</w:t>
      </w:r>
    </w:p>
    <w:p>
      <w:pPr>
        <w:spacing w:after="0" w:line="135" w:lineRule="exact"/>
        <w:rPr>
          <w:sz w:val="20"/>
          <w:szCs w:val="20"/>
          <w:color w:val="auto"/>
        </w:rPr>
      </w:pPr>
    </w:p>
    <w:p>
      <w:pPr>
        <w:ind w:left="340" w:right="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Epsilon Carbon Pvt. LTD., a company incorporated under the laws of India with CIN No: U24100MH2010PTC207156 and its correspondence address at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&amp;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Upadrastha House, 48, Dr V.B. Gandhi Marg, Kala Ghoda Fort, Mumbai-400023, India (“</w:t>
      </w:r>
      <w:r>
        <w:rPr>
          <w:rFonts w:ascii="Arial" w:cs="Arial" w:eastAsia="Arial" w:hAnsi="Arial"/>
          <w:sz w:val="17"/>
          <w:szCs w:val="17"/>
          <w:b w:val="1"/>
          <w:bCs w:val="1"/>
          <w:color w:val="auto"/>
        </w:rPr>
        <w:t>EPSILON CARBON</w:t>
      </w:r>
      <w:r>
        <w:rPr>
          <w:rFonts w:ascii="Arial" w:cs="Arial" w:eastAsia="Arial" w:hAnsi="Arial"/>
          <w:sz w:val="17"/>
          <w:szCs w:val="17"/>
          <w:color w:val="auto"/>
        </w:rPr>
        <w:t>”); and</w:t>
      </w:r>
    </w:p>
    <w:p>
      <w:pPr>
        <w:spacing w:after="0" w:line="24"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TMC The Metals Company Inc., a company organized under the laws of British Columbia, Canada with registered number BC0901047 and registered address at 10th Floor, 595 Howe Street, Vancouver, British Columbia V6C 2T5, Canada ("</w:t>
      </w:r>
      <w:r>
        <w:rPr>
          <w:rFonts w:ascii="Arial" w:cs="Arial" w:eastAsia="Arial" w:hAnsi="Arial"/>
          <w:sz w:val="18"/>
          <w:szCs w:val="18"/>
          <w:b w:val="1"/>
          <w:bCs w:val="1"/>
          <w:color w:val="auto"/>
        </w:rPr>
        <w:t>TMC</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EPSILON CARBON and TMC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MoU is structured into the following sections:</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Background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Intent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 Zero Plant: Pre-Feasibility Report (“PFR”)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 Zero Plant: Heads of Terms Agreement</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than as contemplated in the section titled “Binding Provisions”, nothing herein shall be construed, interpreted, or otherwise deemed to be legally binding, and the Parties expressly acknowledge, except as specifically set forth below, and confirm that they do not intend to create any legal obligations by their signing of this MOU.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16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TMC</w:t>
      </w:r>
    </w:p>
    <w:p>
      <w:pPr>
        <w:spacing w:after="0" w:line="22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TMC The Metals Company, Inc. (“</w:t>
      </w:r>
      <w:r>
        <w:rPr>
          <w:rFonts w:ascii="Arial" w:cs="Arial" w:eastAsia="Arial" w:hAnsi="Arial"/>
          <w:sz w:val="17"/>
          <w:szCs w:val="17"/>
          <w:b w:val="1"/>
          <w:bCs w:val="1"/>
          <w:color w:val="auto"/>
        </w:rPr>
        <w:t>TMC</w:t>
      </w:r>
      <w:r>
        <w:rPr>
          <w:rFonts w:ascii="Arial" w:cs="Arial" w:eastAsia="Arial" w:hAnsi="Arial"/>
          <w:sz w:val="17"/>
          <w:szCs w:val="17"/>
          <w:color w:val="auto"/>
        </w:rPr>
        <w:t>”) Established in 2011, TMC is a NASDAQ-listed Canadian company developing a polymetallic nodule resource found on the seafloor in the international waters of the Clarion Clipperton Zone (CCZ) and regulated by the International Seabed Authority. TMC holds exploration and commercial rights to three areas in the CCZ (NORI, TOML, Marawa) and has issued Canadian NI 43-101 and SEC SK 1300 compliant technical resource statements on two of its exploration contract areas (TOML and NORI). [***]</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EPSILON CARBON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Epsilon Carbon Pvt. Ltd., (“</w:t>
      </w:r>
      <w:r>
        <w:rPr>
          <w:rFonts w:ascii="Arial" w:cs="Arial" w:eastAsia="Arial" w:hAnsi="Arial"/>
          <w:sz w:val="17"/>
          <w:szCs w:val="17"/>
          <w:b w:val="1"/>
          <w:bCs w:val="1"/>
          <w:color w:val="auto"/>
        </w:rPr>
        <w:t>EPSILON CARBON</w:t>
      </w:r>
      <w:r>
        <w:rPr>
          <w:rFonts w:ascii="Arial" w:cs="Arial" w:eastAsia="Arial" w:hAnsi="Arial"/>
          <w:sz w:val="17"/>
          <w:szCs w:val="17"/>
          <w:color w:val="auto"/>
        </w:rPr>
        <w:t>”) Established in 2010, Epsilon Carbon Pvt Ltd is a leading manufacturer of coal tar derivatives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India's only backward-integrated company with a dedicated source of raw materials generated by the JSW Group’s steel manufacturing plant. EPSILON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CARBON has entered the lithium-ion battery materials value chain in 2018 with the vision to develop and manufacture innovative, high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quality carbon products for anode components of lithium-ion batteries by founding a dedicated subsidiary </w:t>
      </w:r>
      <w:r>
        <w:rPr>
          <w:rFonts w:ascii="Arial" w:cs="Arial" w:eastAsia="Arial" w:hAnsi="Arial"/>
          <w:sz w:val="17"/>
          <w:szCs w:val="17"/>
          <w:u w:val="single" w:color="auto"/>
          <w:color w:val="auto"/>
        </w:rPr>
        <w:t>Epsilon Advanced Materials</w:t>
      </w:r>
      <w:r>
        <w:rPr>
          <w:rFonts w:ascii="Arial" w:cs="Arial" w:eastAsia="Arial" w:hAnsi="Arial"/>
          <w:sz w:val="17"/>
          <w:szCs w:val="17"/>
          <w:color w:val="auto"/>
        </w:rPr>
        <w:t xml:space="preserve"> Private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EPSILON ADVANCED MATERIALS</w:t>
      </w:r>
      <w:r>
        <w:rPr>
          <w:rFonts w:ascii="Arial" w:cs="Arial" w:eastAsia="Arial" w:hAnsi="Arial"/>
          <w:sz w:val="16"/>
          <w:szCs w:val="16"/>
          <w:color w:val="auto"/>
        </w:rPr>
        <w:t>”). The subsidiary is currently focused on the production of synthetic flake graphite, a precursor material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battery anodes. EPSILON ADVANCED MATERIALS has built a greenfield plant with a commercial capacity of 2,500 tons per annum for anode precursor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(EMC series) and a pilot facility for coke powder (EMP series) and graphite anodes (EMG series). [***] To complement their presence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anode space, EPSILON CARBON aims to produce cathode materials in India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Interactions between parties to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Strategic Intent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intent of the Parties is to develop a greenfield Project Zero nodule processing plant in India wherein EPSILON CARBON would finance, permit, build, and operate the Project Zero Plant in India for the sole purpose of processing polymetallic nodules collected from NORI-D area. Moreover, the parties intend to jointly market manganese silicate to manganese alloy producers or their steel manufacturing customers in India, and precursors of battery cathode materials to global customers initially, and India subsequently,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high-level timeline contemplated by the Parties is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the immediate next steps, the Parties will:</w:t>
      </w:r>
    </w:p>
    <w:p>
      <w:pPr>
        <w:spacing w:after="0" w:line="225" w:lineRule="exact"/>
        <w:rPr>
          <w:sz w:val="20"/>
          <w:szCs w:val="20"/>
          <w:color w:val="auto"/>
        </w:rPr>
      </w:pPr>
    </w:p>
    <w:p>
      <w:pPr>
        <w:ind w:left="660" w:right="400" w:hanging="328"/>
        <w:spacing w:after="0" w:line="258"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Complete a PFR for Project Zero Plant (incl. Rotary Kilns, Electric Arc Furnaces and Pierce-Smith Converters) at a suitable site in India with access to deep-water port and powered by renewables;</w:t>
      </w:r>
    </w:p>
    <w:p>
      <w:pPr>
        <w:spacing w:after="0" w:line="1" w:lineRule="exact"/>
        <w:rPr>
          <w:rFonts w:ascii="Arial" w:cs="Arial" w:eastAsia="Arial" w:hAnsi="Arial"/>
          <w:sz w:val="18"/>
          <w:szCs w:val="18"/>
          <w:color w:val="auto"/>
        </w:rPr>
      </w:pPr>
    </w:p>
    <w:p>
      <w:pPr>
        <w:ind w:left="660" w:right="380" w:hanging="328"/>
        <w:spacing w:after="0" w:line="26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Start negotiating the commercial arrangement for Project Zero, and may mutually agree to enter into a binding Heads of Terms Agreement by September 30, 2022 to capture the commercial structure [***] of the Project Zero Plant.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Project Zero Plant: PFR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mentioned in the timeline above, TMC and EPSILON CARBON currently intend to jointly complete a Pre-Feasibility Report (PFR) for Project Zero Plant in India [***].</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Objective</w:t>
            </w:r>
          </w:p>
        </w:tc>
        <w:tc>
          <w:tcPr>
            <w:tcW w:w="896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w w:val="90"/>
              </w:rPr>
              <w:t>The objective of the PFR is to establish feasibility and business case for a Project Zero Plant to process nodules from</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2"/>
              </w:rPr>
              <w:t>NORI-D area in the Clarion-Clipperton Zone to a NiCuCo matte and a Mn Silicate product at a selected site in India.</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228"/>
        </w:trPr>
        <w:tc>
          <w:tcPr>
            <w:tcW w:w="2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jc w:val="right"/>
              <w:ind w:right="8350"/>
              <w:spacing w:after="0"/>
              <w:rPr>
                <w:sz w:val="20"/>
                <w:szCs w:val="20"/>
                <w:color w:val="auto"/>
              </w:rPr>
            </w:pPr>
            <w:r>
              <w:rPr>
                <w:rFonts w:ascii="Arial" w:cs="Arial" w:eastAsia="Arial" w:hAnsi="Arial"/>
                <w:sz w:val="18"/>
                <w:szCs w:val="18"/>
                <w:color w:val="auto"/>
              </w:rPr>
              <w:t>[***]</w:t>
            </w: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60" w:type="dxa"/>
            <w:vAlign w:val="bottom"/>
            <w:tcBorders>
              <w:bottom w:val="single" w:sz="8" w:color="auto"/>
              <w:right w:val="single" w:sz="8" w:color="auto"/>
            </w:tcBorders>
          </w:tcPr>
          <w:p>
            <w:pPr>
              <w:spacing w:after="0"/>
              <w:rPr>
                <w:sz w:val="13"/>
                <w:szCs w:val="13"/>
                <w:color w:val="auto"/>
              </w:rPr>
            </w:pPr>
          </w:p>
        </w:tc>
      </w:tr>
      <w:tr>
        <w:trPr>
          <w:trHeight w:val="228"/>
        </w:trPr>
        <w:tc>
          <w:tcPr>
            <w:tcW w:w="22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jc w:val="right"/>
              <w:ind w:right="8350"/>
              <w:spacing w:after="0"/>
              <w:rPr>
                <w:sz w:val="20"/>
                <w:szCs w:val="20"/>
                <w:color w:val="auto"/>
              </w:rPr>
            </w:pPr>
            <w:r>
              <w:rPr>
                <w:rFonts w:ascii="Arial" w:cs="Arial" w:eastAsia="Arial" w:hAnsi="Arial"/>
                <w:sz w:val="18"/>
                <w:szCs w:val="18"/>
                <w:color w:val="auto"/>
              </w:rPr>
              <w:t>[***]</w:t>
            </w: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60" w:type="dxa"/>
            <w:vAlign w:val="bottom"/>
            <w:tcBorders>
              <w:bottom w:val="single" w:sz="8" w:color="auto"/>
              <w:right w:val="single" w:sz="8" w:color="auto"/>
            </w:tcBorders>
          </w:tcPr>
          <w:p>
            <w:pPr>
              <w:spacing w:after="0"/>
              <w:rPr>
                <w:sz w:val="13"/>
                <w:szCs w:val="1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Project Zero Plant: Heads of Terms Agreement</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TMC and EPSILON CARBON may mutually agree to enter into a binding Heads of Terms Agreement by September 30, 2022 to capture the commercial structure [***] of the Project Zero Plant.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00" w:type="dxa"/>
            <w:vAlign w:val="bottom"/>
            <w:tcBorders>
              <w:top w:val="single" w:sz="8" w:color="auto"/>
              <w:left w:val="single" w:sz="8" w:color="auto"/>
              <w:right w:val="single" w:sz="8" w:color="auto"/>
            </w:tcBorders>
          </w:tcPr>
          <w:p>
            <w:pPr>
              <w:jc w:val="right"/>
              <w:ind w:right="1910"/>
              <w:spacing w:after="0"/>
              <w:rPr>
                <w:sz w:val="20"/>
                <w:szCs w:val="20"/>
                <w:color w:val="auto"/>
              </w:rPr>
            </w:pPr>
            <w:r>
              <w:rPr>
                <w:rFonts w:ascii="Arial" w:cs="Arial" w:eastAsia="Arial" w:hAnsi="Arial"/>
                <w:sz w:val="18"/>
                <w:szCs w:val="18"/>
                <w:b w:val="1"/>
                <w:bCs w:val="1"/>
                <w:color w:val="auto"/>
              </w:rPr>
              <w:t>[***]</w:t>
            </w:r>
          </w:p>
        </w:tc>
        <w:tc>
          <w:tcPr>
            <w:tcW w:w="87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r>
      <w:tr>
        <w:trPr>
          <w:trHeight w:val="195"/>
        </w:trPr>
        <w:tc>
          <w:tcPr>
            <w:tcW w:w="2500" w:type="dxa"/>
            <w:vAlign w:val="bottom"/>
            <w:tcBorders>
              <w:left w:val="single" w:sz="8" w:color="auto"/>
              <w:right w:val="single" w:sz="8" w:color="auto"/>
            </w:tcBorders>
          </w:tcPr>
          <w:p>
            <w:pPr>
              <w:jc w:val="right"/>
              <w:ind w:right="1290"/>
              <w:spacing w:after="0" w:line="195" w:lineRule="exact"/>
              <w:rPr>
                <w:sz w:val="20"/>
                <w:szCs w:val="20"/>
                <w:color w:val="auto"/>
              </w:rPr>
            </w:pPr>
            <w:r>
              <w:rPr>
                <w:rFonts w:ascii="Arial" w:cs="Arial" w:eastAsia="Arial" w:hAnsi="Arial"/>
                <w:sz w:val="18"/>
                <w:szCs w:val="18"/>
                <w:b w:val="1"/>
                <w:bCs w:val="1"/>
                <w:color w:val="auto"/>
              </w:rPr>
              <w:t>Cooperation</w:t>
            </w:r>
          </w:p>
        </w:tc>
        <w:tc>
          <w:tcPr>
            <w:tcW w:w="87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2"/>
              </w:rPr>
              <w:t>During the Term (as defined below), the Parties agree to keep each other reasonably informed about any changes in</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circumstance which may affect the delivery of a completed PFR, or this MOU or, in the case of NORI, any changes in</w:t>
            </w: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timeline to issuance of the exploitation contract.</w:t>
            </w:r>
          </w:p>
        </w:tc>
      </w:tr>
      <w:tr>
        <w:trPr>
          <w:trHeight w:val="175"/>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tcPr>
          <w:p>
            <w:pPr>
              <w:spacing w:after="0"/>
              <w:rPr>
                <w:sz w:val="15"/>
                <w:szCs w:val="15"/>
                <w:color w:val="auto"/>
              </w:rPr>
            </w:pPr>
          </w:p>
        </w:tc>
      </w:tr>
      <w:tr>
        <w:trPr>
          <w:trHeight w:val="668"/>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Public</w:t>
            </w:r>
          </w:p>
        </w:tc>
        <w:tc>
          <w:tcPr>
            <w:tcW w:w="89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Within three (3) business days of the execution of this MOU the Parties shall issue a joint press release in the form</w:t>
            </w:r>
          </w:p>
        </w:tc>
      </w:tr>
      <w:tr>
        <w:trPr>
          <w:trHeight w:val="234"/>
        </w:trPr>
        <w:tc>
          <w:tcPr>
            <w:tcW w:w="22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disclosure</w:t>
            </w:r>
          </w:p>
        </w:tc>
        <w:tc>
          <w:tcPr>
            <w:tcW w:w="8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Press Release</w:t>
            </w:r>
            <w:r>
              <w:rPr>
                <w:rFonts w:ascii="Arial" w:cs="Arial" w:eastAsia="Arial" w:hAnsi="Arial"/>
                <w:sz w:val="18"/>
                <w:szCs w:val="18"/>
                <w:color w:val="auto"/>
              </w:rPr>
              <w:t>”).</w:t>
            </w:r>
          </w:p>
        </w:tc>
      </w:tr>
      <w:tr>
        <w:trPr>
          <w:trHeight w:val="418"/>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Except as set forth above, each Party shall not, without the prior written consent of the other Party issue any news release,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advertisement or public communication in which any of the other Party, any of its affiliates or their respective activities or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relationship with the Party are mentioned, except where the issuance of any news release or other public communication</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may be required by a Party in order to comply with applicable law or rules of a stock exchange.</w:t>
            </w:r>
          </w:p>
        </w:tc>
      </w:tr>
      <w:tr>
        <w:trPr>
          <w:trHeight w:val="176"/>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Confidentiality</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Each of the Parties agrees that the terms of the Confidentiality Agreement executed by the parties on December 9, 2021</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continues to govern the information exchanged between the parties until the earlier of (i) the execution of the Heads of</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Terms Agreement and the Termination Date (as defined below).</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Term</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This MOU shall be valid from the date of execution until the earlier of (the “Term”) (i) mutual execution of the Heads of</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Terms Agreement or (ii) March 31, 2023 (the “Termination Date”).</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Exclusivity</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From the date of execution of this MOU until the Termination Date, the Parties mutually agree not to enter into any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binding agreements with any third party for the construction and operation of a processing plant for polymetallic nodules</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such as the ones found on the seafloor of the international waters of the Clarion Clipperton Zone (CCZ).</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Governing Law</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This MOU shall be governed by, and construed in accordance with Indian law. The Courts of India will have exclusive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jurisdiction in relation to any claim or dispute arising under this MOU. Each Party irrevocably waives any right it may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have to object to any action being brought in those courts, to claim that the action has been brought in an inappropriate</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forum, or to claim that those courts do not have jurisdiction.</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Binding</w:t>
            </w:r>
          </w:p>
        </w:tc>
        <w:tc>
          <w:tcPr>
            <w:tcW w:w="896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1"/>
              </w:rPr>
              <w:t>The only provisions of this MOU that are binding upon the Parties as of the execution of this MOU by both Parties are the</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Provisions</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paragraphs captioned (i) Cooperation, (ii) Confidentiality (iii) Term (iv) Exclusivity, (v) Public Announcements,</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(vi) Governing Law and (vii) Binding Provisions and the definition of any defined term used but not defined therein.</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60" w:type="dxa"/>
            <w:vAlign w:val="bottom"/>
            <w:tcBorders>
              <w:bottom w:val="single" w:sz="8" w:color="auto"/>
              <w:right w:val="single" w:sz="8" w:color="auto"/>
            </w:tcBorders>
          </w:tcPr>
          <w:p>
            <w:pPr>
              <w:spacing w:after="0"/>
              <w:rPr>
                <w:sz w:val="13"/>
                <w:szCs w:val="13"/>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8960" w:type="dxa"/>
            <w:vAlign w:val="bottom"/>
            <w:tcBorders>
              <w:bottom w:val="single" w:sz="8" w:color="auto"/>
              <w:right w:val="single" w:sz="8" w:color="auto"/>
            </w:tcBorders>
          </w:tcPr>
          <w:p>
            <w:pPr>
              <w:spacing w:after="0"/>
              <w:rPr>
                <w:sz w:val="13"/>
                <w:szCs w:val="13"/>
                <w:color w:val="auto"/>
              </w:rPr>
            </w:pPr>
          </w:p>
        </w:tc>
      </w:tr>
      <w:tr>
        <w:trPr>
          <w:trHeight w:val="669"/>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Handa</w:t>
            </w:r>
          </w:p>
        </w:tc>
      </w:tr>
      <w:tr>
        <w:trPr>
          <w:trHeight w:val="411"/>
        </w:trPr>
        <w:tc>
          <w:tcPr>
            <w:tcW w:w="5520" w:type="dxa"/>
            <w:vAlign w:val="bottom"/>
          </w:tcPr>
          <w:p>
            <w:pPr>
              <w:spacing w:after="0"/>
              <w:rPr>
                <w:sz w:val="20"/>
                <w:szCs w:val="20"/>
                <w:color w:val="auto"/>
              </w:rPr>
            </w:pPr>
            <w:r>
              <w:rPr>
                <w:rFonts w:ascii="Arial" w:cs="Arial" w:eastAsia="Arial" w:hAnsi="Arial"/>
                <w:sz w:val="18"/>
                <w:szCs w:val="18"/>
                <w:b w:val="1"/>
                <w:bCs w:val="1"/>
                <w:color w:val="auto"/>
              </w:rPr>
              <w:t>Gerard Barron</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Vikram Handa</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Chairman and CEO</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Managing Director</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The Metals Company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Epsilon Carbon Pvt. Ltd.</w:t>
            </w:r>
          </w:p>
        </w:tc>
      </w:tr>
      <w:tr>
        <w:trPr>
          <w:trHeight w:val="67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2022-03-17T08:03:50Z</dcterms:created>
  <dcterms:modified xsi:type="dcterms:W3CDTF">2022-03-17T08:03:50Z</dcterms:modified>
</cp:coreProperties>
</file>