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333-260126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 NO. 5</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OCTOBER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2585085</wp:posOffset>
            </wp:positionH>
            <wp:positionV relativeFrom="paragraph">
              <wp:posOffset>142875</wp:posOffset>
            </wp:positionV>
            <wp:extent cx="1945640" cy="677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564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center"/>
        <w:ind w:right="60"/>
        <w:spacing w:after="0"/>
        <w:rPr>
          <w:sz w:val="20"/>
          <w:szCs w:val="20"/>
          <w:color w:val="auto"/>
        </w:rPr>
      </w:pPr>
      <w:r>
        <w:rPr>
          <w:rFonts w:ascii="Arial" w:cs="Arial" w:eastAsia="Arial" w:hAnsi="Arial"/>
          <w:sz w:val="25"/>
          <w:szCs w:val="25"/>
          <w:b w:val="1"/>
          <w:bCs w:val="1"/>
          <w:color w:val="auto"/>
        </w:rPr>
        <w:t>TMC THE METALS COMPANY INC.</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264,438,297 Common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Up to 9,500,000 Warrants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This prospectus supplement no. 5 (this “Supplement”) supplements the prospectus dated October 22, 2021 (the “Prospectus”) relating to the issuance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by us of up to an aggregate of 24,500,000 of our common shares, without par value (“Common Shares”), which consists of (i) up to 9,500,000 Common</w:t>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Shares that are issuable upon the exercise of private placement warrants (the “Private Placement Warrants”) originally issued in a private placement in</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connection with the initial public offering of our predecessor company, Sustainable Opportunities Acquisition Corp. (“SOAC”), at an exercise price of</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$11.50 per Common Share, and (ii) up to 15,000,000 Common Shares that are issuable upon the exercise of 15,000,000 warrants issued in connection with</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initial public offering of SOAC (the “Public Warrants,” and together with the Private Placement Warrants, the “Warrants”).</w:t>
      </w:r>
    </w:p>
    <w:p>
      <w:pPr>
        <w:spacing w:after="0" w:line="211" w:lineRule="exact"/>
        <w:rPr>
          <w:sz w:val="24"/>
          <w:szCs w:val="24"/>
          <w:color w:val="auto"/>
        </w:rPr>
      </w:pPr>
    </w:p>
    <w:p>
      <w:pPr>
        <w:ind w:right="300" w:firstLine="324"/>
        <w:spacing w:after="0" w:line="287" w:lineRule="auto"/>
        <w:rPr>
          <w:sz w:val="20"/>
          <w:szCs w:val="20"/>
          <w:color w:val="auto"/>
        </w:rPr>
      </w:pPr>
      <w:r>
        <w:rPr>
          <w:rFonts w:ascii="Arial" w:cs="Arial" w:eastAsia="Arial" w:hAnsi="Arial"/>
          <w:sz w:val="16"/>
          <w:szCs w:val="16"/>
          <w:color w:val="auto"/>
        </w:rPr>
        <w:t>The Prospectus and this Supplement also relate to the resale from time to time by the Selling Securityholders named in the Prospectus (the “Selling Securityholders”) of up to (i) 9,500,000 Private Placement Warrants, (ii) 9,500,000 Common Shares that may be issued upon exercise of the Private Placement Warrants, (iii) 11,578,620 Common Shares that may be issued upon exercise of the Allseas Warrant (as defined in the Prospectus),</w:t>
      </w:r>
    </w:p>
    <w:p>
      <w:pPr>
        <w:spacing w:after="0" w:line="2" w:lineRule="exact"/>
        <w:rPr>
          <w:sz w:val="24"/>
          <w:szCs w:val="24"/>
          <w:color w:val="auto"/>
        </w:rPr>
      </w:pPr>
    </w:p>
    <w:p>
      <w:pPr>
        <w:ind w:right="180" w:firstLine="8"/>
        <w:spacing w:after="0" w:line="281" w:lineRule="auto"/>
        <w:tabs>
          <w:tab w:leader="none" w:pos="305" w:val="left"/>
        </w:tabs>
        <w:numPr>
          <w:ilvl w:val="0"/>
          <w:numId w:val="1"/>
        </w:numPr>
        <w:rPr>
          <w:rFonts w:ascii="Arial" w:cs="Arial" w:eastAsia="Arial" w:hAnsi="Arial"/>
          <w:sz w:val="16"/>
          <w:szCs w:val="16"/>
          <w:color w:val="auto"/>
        </w:rPr>
      </w:pPr>
      <w:r>
        <w:rPr>
          <w:rFonts w:ascii="Arial" w:cs="Arial" w:eastAsia="Arial" w:hAnsi="Arial"/>
          <w:sz w:val="16"/>
          <w:szCs w:val="16"/>
          <w:color w:val="auto"/>
        </w:rPr>
        <w:t>6,759,000 Common Shares held by SOAC’s sponsor, Sustainable Opportunities Holdings LLC (the “Sponsor”), SOAC’s former directors and certain of their transferees (collectively, the “Founder Shares”), (v) 11,030,000 Common Shares issued in the PIPE Financing (as defined in the Prospectus),</w:t>
      </w:r>
    </w:p>
    <w:p>
      <w:pPr>
        <w:spacing w:after="0" w:line="1" w:lineRule="exact"/>
        <w:rPr>
          <w:rFonts w:ascii="Arial" w:cs="Arial" w:eastAsia="Arial" w:hAnsi="Arial"/>
          <w:sz w:val="16"/>
          <w:szCs w:val="16"/>
          <w:color w:val="auto"/>
        </w:rPr>
      </w:pPr>
    </w:p>
    <w:p>
      <w:pPr>
        <w:ind w:right="200" w:firstLine="8"/>
        <w:spacing w:after="0" w:line="253" w:lineRule="auto"/>
        <w:tabs>
          <w:tab w:leader="none" w:pos="305" w:val="left"/>
        </w:tabs>
        <w:numPr>
          <w:ilvl w:val="0"/>
          <w:numId w:val="2"/>
        </w:numPr>
        <w:rPr>
          <w:rFonts w:ascii="Arial" w:cs="Arial" w:eastAsia="Arial" w:hAnsi="Arial"/>
          <w:sz w:val="18"/>
          <w:szCs w:val="18"/>
          <w:color w:val="auto"/>
        </w:rPr>
      </w:pPr>
      <w:r>
        <w:rPr>
          <w:rFonts w:ascii="Arial" w:cs="Arial" w:eastAsia="Arial" w:hAnsi="Arial"/>
          <w:sz w:val="18"/>
          <w:szCs w:val="18"/>
          <w:color w:val="auto"/>
        </w:rPr>
        <w:t>131,178,480 Common Shares issued to certain shareholders of DeepGreen (as defined in the Prospectus) pursuant to the Business Combination Agreement (as defined in the Prospectus), (vii) 77,277,244 Common Shares issuable to certain shareholders of DeepGreen upon the conversion of DeepGreen Earnout Shares (as defined in the Prospectus) pursuant to the Business Combination Agreement, (viii) 1,241,000 Common Shares issuable to the Sponsor and its transferees upon the conversion of Sponsor Earnout Shares (as defined in the Prospects) and (ix) 873,953 Common Shares issued to certain service providers to DeepGreen.</w:t>
      </w:r>
    </w:p>
    <w:p>
      <w:pPr>
        <w:spacing w:after="0" w:line="191" w:lineRule="exact"/>
        <w:rPr>
          <w:sz w:val="24"/>
          <w:szCs w:val="24"/>
          <w:color w:val="auto"/>
        </w:rPr>
      </w:pPr>
    </w:p>
    <w:p>
      <w:pPr>
        <w:ind w:right="80" w:firstLine="324"/>
        <w:spacing w:after="0" w:line="259" w:lineRule="auto"/>
        <w:rPr>
          <w:sz w:val="20"/>
          <w:szCs w:val="20"/>
          <w:color w:val="auto"/>
        </w:rPr>
      </w:pPr>
      <w:r>
        <w:rPr>
          <w:rFonts w:ascii="Arial" w:cs="Arial" w:eastAsia="Arial" w:hAnsi="Arial"/>
          <w:sz w:val="18"/>
          <w:szCs w:val="18"/>
          <w:color w:val="auto"/>
        </w:rPr>
        <w:t>The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the Prospectus.</w:t>
      </w:r>
    </w:p>
    <w:p>
      <w:pPr>
        <w:spacing w:after="0" w:line="187" w:lineRule="exact"/>
        <w:rPr>
          <w:sz w:val="24"/>
          <w:szCs w:val="24"/>
          <w:color w:val="auto"/>
        </w:rPr>
      </w:pPr>
    </w:p>
    <w:p>
      <w:pPr>
        <w:ind w:right="20" w:firstLine="324"/>
        <w:spacing w:after="0" w:line="277" w:lineRule="auto"/>
        <w:rPr>
          <w:sz w:val="20"/>
          <w:szCs w:val="20"/>
          <w:color w:val="auto"/>
        </w:rPr>
      </w:pPr>
      <w:r>
        <w:rPr>
          <w:rFonts w:ascii="Arial" w:cs="Arial" w:eastAsia="Arial" w:hAnsi="Arial"/>
          <w:sz w:val="18"/>
          <w:szCs w:val="18"/>
          <w:color w:val="auto"/>
        </w:rPr>
        <w:t>We will not receive any proceeds from the sale of Common Shares or Private Placement Warrants by the Selling Securityholders or of Common Shares by us pursuant to the Prospectus, except with respect to amounts received by us upon exercise of the Warrants.</w:t>
      </w:r>
    </w:p>
    <w:p>
      <w:pPr>
        <w:spacing w:after="0" w:line="170" w:lineRule="exact"/>
        <w:rPr>
          <w:sz w:val="24"/>
          <w:szCs w:val="24"/>
          <w:color w:val="auto"/>
        </w:rPr>
      </w:pPr>
    </w:p>
    <w:p>
      <w:pPr>
        <w:ind w:right="440" w:firstLine="324"/>
        <w:spacing w:after="0" w:line="277" w:lineRule="auto"/>
        <w:rPr>
          <w:sz w:val="20"/>
          <w:szCs w:val="20"/>
          <w:color w:val="auto"/>
        </w:rPr>
      </w:pPr>
      <w:r>
        <w:rPr>
          <w:rFonts w:ascii="Arial" w:cs="Arial" w:eastAsia="Arial" w:hAnsi="Arial"/>
          <w:sz w:val="18"/>
          <w:szCs w:val="18"/>
          <w:color w:val="auto"/>
        </w:rPr>
        <w:t>However, we will pay the expenses, other than any underwriting discounts and commissions, associated with the sale of securities pursuant to the Prospectus.</w:t>
      </w:r>
    </w:p>
    <w:p>
      <w:pPr>
        <w:spacing w:after="0" w:line="170" w:lineRule="exact"/>
        <w:rPr>
          <w:sz w:val="24"/>
          <w:szCs w:val="24"/>
          <w:color w:val="auto"/>
        </w:rPr>
      </w:pPr>
    </w:p>
    <w:p>
      <w:pPr>
        <w:ind w:right="120" w:firstLine="324"/>
        <w:spacing w:after="0" w:line="257" w:lineRule="auto"/>
        <w:rPr>
          <w:sz w:val="20"/>
          <w:szCs w:val="20"/>
          <w:color w:val="auto"/>
        </w:rPr>
      </w:pPr>
      <w:r>
        <w:rPr>
          <w:rFonts w:ascii="Arial" w:cs="Arial" w:eastAsia="Arial" w:hAnsi="Arial"/>
          <w:sz w:val="18"/>
          <w:szCs w:val="18"/>
          <w:color w:val="auto"/>
        </w:rPr>
        <w:t>We registered certain of the securities for resale pursuant to the Selling Securityholders’ registration rights under certain agreements between us and the Selling Securityholders. Our registration of the securities covered by the Prospectus does not mean that either we or the Selling Securityholders will issue, offer or sell, as applicable, any of the securities. The Selling Securityholders may offer and sell the securities covered by the Prospectus in a number of different ways and at varying prices. We provide more information about how the Selling Securityholders may sell the shares or Warrants in the section entitled “Plan of Distribution” in the Prospectus.</w:t>
      </w:r>
    </w:p>
    <w:p>
      <w:pPr>
        <w:spacing w:after="0" w:line="188"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This Supplement incorporates into the Prospectus the information contained in our attached current report on Form 8-K which was filed with the Securities and Exchange Commission on March 17, 2022.</w:t>
      </w:r>
    </w:p>
    <w:p>
      <w:pPr>
        <w:spacing w:after="0" w:line="170" w:lineRule="exact"/>
        <w:rPr>
          <w:sz w:val="24"/>
          <w:szCs w:val="24"/>
          <w:color w:val="auto"/>
        </w:rPr>
      </w:pPr>
    </w:p>
    <w:p>
      <w:pPr>
        <w:ind w:firstLine="324"/>
        <w:spacing w:after="0" w:line="259" w:lineRule="auto"/>
        <w:rPr>
          <w:sz w:val="20"/>
          <w:szCs w:val="20"/>
          <w:color w:val="auto"/>
        </w:rPr>
      </w:pPr>
      <w:r>
        <w:rPr>
          <w:rFonts w:ascii="Arial" w:cs="Arial" w:eastAsia="Arial" w:hAnsi="Arial"/>
          <w:sz w:val="18"/>
          <w:szCs w:val="18"/>
          <w:color w:val="auto"/>
        </w:rPr>
        <w:t>You should read this Supplement in conjunction with the Prospectus, including any supplements and amendments thereto. This Supplement is qualified by reference to the Prospectus except to the extent that the information in this Supplement supersedes the information contained in the Prospectus. This Supplement is not complete without, and may not be delivered or utilized except in connection with, the Prospectus, including any supplements and amendments thereto.</w:t>
      </w:r>
    </w:p>
    <w:p>
      <w:pPr>
        <w:spacing w:after="0" w:line="187" w:lineRule="exact"/>
        <w:rPr>
          <w:sz w:val="24"/>
          <w:szCs w:val="24"/>
          <w:color w:val="auto"/>
        </w:rPr>
      </w:pPr>
    </w:p>
    <w:p>
      <w:pPr>
        <w:ind w:right="440" w:firstLine="324"/>
        <w:spacing w:after="0" w:line="277" w:lineRule="auto"/>
        <w:rPr>
          <w:sz w:val="20"/>
          <w:szCs w:val="20"/>
          <w:color w:val="auto"/>
        </w:rPr>
      </w:pPr>
      <w:r>
        <w:rPr>
          <w:rFonts w:ascii="Arial" w:cs="Arial" w:eastAsia="Arial" w:hAnsi="Arial"/>
          <w:sz w:val="18"/>
          <w:szCs w:val="18"/>
          <w:color w:val="auto"/>
        </w:rPr>
        <w:t>Our Common Shares and Public Warrants are listed on Nasdaq under the symbols “TMC” and “TMCWW,” respectively. On March 16, 2022, the closing price of our Common Shares was $2.91 and the closing price for our Public Warrants was $0.60.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117475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3" w:lineRule="exact"/>
        <w:rPr>
          <w:sz w:val="24"/>
          <w:szCs w:val="24"/>
          <w:color w:val="auto"/>
        </w:rPr>
      </w:pPr>
    </w:p>
    <w:p>
      <w:pPr>
        <w:ind w:right="800"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“Risk Factors” beginning on page 13 of the Prospectus and in the other documents that are incorporated by reference in the Prospectus.</w:t>
      </w:r>
    </w:p>
    <w:p>
      <w:pPr>
        <w:spacing w:after="0" w:line="162" w:lineRule="exact"/>
        <w:rPr>
          <w:sz w:val="24"/>
          <w:szCs w:val="24"/>
          <w:color w:val="auto"/>
        </w:rPr>
      </w:pPr>
    </w:p>
    <w:p>
      <w:pPr>
        <w:ind w:right="480" w:firstLine="324"/>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Supplement is truthful or complete. Any representation to the contrary is a criminal offense.</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March 17, 2022.</w:t>
      </w:r>
    </w:p>
    <w:p>
      <w:pPr>
        <w:sectPr>
          <w:pgSz w:w="11900" w:h="16838" w:orient="portrait"/>
          <w:cols w:equalWidth="0" w:num="1">
            <w:col w:w="11240"/>
          </w:cols>
          <w:pgMar w:left="320" w:top="472" w:right="339" w:bottom="65" w:gutter="0" w:footer="0" w:header="0"/>
        </w:sectPr>
      </w:pPr>
    </w:p>
    <w:bookmarkStart w:id="1" w:name="page2"/>
    <w:bookmarkEnd w:id="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80"/>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760" w:type="dxa"/>
        <w:tblCellMar>
          <w:top w:w="0" w:type="dxa"/>
          <w:left w:w="0" w:type="dxa"/>
          <w:bottom w:w="0" w:type="dxa"/>
          <w:right w:w="0" w:type="dxa"/>
        </w:tblCellMar>
      </w:tblP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3"/>
              </w:rPr>
              <w:t>British Columbia, Canada</w:t>
            </w:r>
          </w:p>
        </w:tc>
        <w:tc>
          <w:tcPr>
            <w:tcW w:w="3840" w:type="dxa"/>
            <w:vAlign w:val="bottom"/>
          </w:tcPr>
          <w:p>
            <w:pPr>
              <w:jc w:val="right"/>
              <w:ind w:right="153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2"/>
              </w:rPr>
              <w:t>(State or other jurisdiction of</w:t>
            </w:r>
          </w:p>
        </w:tc>
        <w:tc>
          <w:tcPr>
            <w:tcW w:w="3840" w:type="dxa"/>
            <w:vAlign w:val="bottom"/>
          </w:tcPr>
          <w:p>
            <w:pPr>
              <w:jc w:val="center"/>
              <w:ind w:right="90"/>
              <w:spacing w:after="0"/>
              <w:rPr>
                <w:sz w:val="20"/>
                <w:szCs w:val="20"/>
                <w:color w:val="auto"/>
              </w:rPr>
            </w:pPr>
            <w:r>
              <w:rPr>
                <w:rFonts w:ascii="Arial" w:cs="Arial" w:eastAsia="Arial" w:hAnsi="Arial"/>
                <w:sz w:val="18"/>
                <w:szCs w:val="18"/>
                <w:color w:val="auto"/>
                <w:w w:val="92"/>
              </w:rPr>
              <w:t>(Commission 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3"/>
              </w:rPr>
              <w:t>(IRS Employer</w:t>
            </w:r>
          </w:p>
        </w:tc>
      </w:tr>
      <w:tr>
        <w:trPr>
          <w:trHeight w:val="212"/>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4"/>
              </w:rPr>
              <w:t>incorporation)</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216"/>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595 Howe Street, 10th Floor</w:t>
            </w:r>
          </w:p>
        </w:tc>
        <w:tc>
          <w:tcPr>
            <w:tcW w:w="38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0"/>
        </w:trPr>
        <w:tc>
          <w:tcPr>
            <w:tcW w:w="3100" w:type="dxa"/>
            <w:vAlign w:val="bottom"/>
          </w:tcPr>
          <w:p>
            <w:pPr>
              <w:jc w:val="center"/>
              <w:ind w:right="690"/>
              <w:spacing w:after="0"/>
              <w:rPr>
                <w:sz w:val="20"/>
                <w:szCs w:val="20"/>
                <w:color w:val="auto"/>
              </w:rPr>
            </w:pPr>
            <w:r>
              <w:rPr>
                <w:rFonts w:ascii="Arial" w:cs="Arial" w:eastAsia="Arial" w:hAnsi="Arial"/>
                <w:sz w:val="18"/>
                <w:szCs w:val="18"/>
                <w:b w:val="1"/>
                <w:bCs w:val="1"/>
                <w:color w:val="auto"/>
                <w:w w:val="91"/>
              </w:rPr>
              <w:t>Vancouver, British Columbia</w:t>
            </w:r>
          </w:p>
        </w:tc>
        <w:tc>
          <w:tcPr>
            <w:tcW w:w="384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16"/>
        </w:trPr>
        <w:tc>
          <w:tcPr>
            <w:tcW w:w="3100" w:type="dxa"/>
            <w:vAlign w:val="bottom"/>
          </w:tcPr>
          <w:p>
            <w:pPr>
              <w:jc w:val="center"/>
              <w:ind w:right="750"/>
              <w:spacing w:after="0"/>
              <w:rPr>
                <w:sz w:val="20"/>
                <w:szCs w:val="20"/>
                <w:color w:val="auto"/>
              </w:rPr>
            </w:pPr>
            <w:r>
              <w:rPr>
                <w:rFonts w:ascii="Arial" w:cs="Arial" w:eastAsia="Arial" w:hAnsi="Arial"/>
                <w:sz w:val="18"/>
                <w:szCs w:val="18"/>
                <w:color w:val="auto"/>
                <w:w w:val="92"/>
              </w:rPr>
              <w:t>(Address of principal executive</w:t>
            </w:r>
          </w:p>
        </w:tc>
        <w:tc>
          <w:tcPr>
            <w:tcW w:w="3840" w:type="dxa"/>
            <w:vAlign w:val="bottom"/>
          </w:tcPr>
          <w:p>
            <w:pPr>
              <w:spacing w:after="0"/>
              <w:rPr>
                <w:sz w:val="18"/>
                <w:szCs w:val="18"/>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r>
        <w:trPr>
          <w:trHeight w:val="230"/>
        </w:trPr>
        <w:tc>
          <w:tcPr>
            <w:tcW w:w="3100" w:type="dxa"/>
            <w:vAlign w:val="bottom"/>
          </w:tcPr>
          <w:p>
            <w:pPr>
              <w:jc w:val="center"/>
              <w:ind w:right="690"/>
              <w:spacing w:after="0"/>
              <w:rPr>
                <w:sz w:val="20"/>
                <w:szCs w:val="20"/>
                <w:color w:val="auto"/>
              </w:rPr>
            </w:pPr>
            <w:r>
              <w:rPr>
                <w:rFonts w:ascii="Arial" w:cs="Arial" w:eastAsia="Arial" w:hAnsi="Arial"/>
                <w:sz w:val="18"/>
                <w:szCs w:val="18"/>
                <w:color w:val="auto"/>
                <w:w w:val="96"/>
              </w:rPr>
              <w:t>offices)</w:t>
            </w:r>
          </w:p>
        </w:tc>
        <w:tc>
          <w:tcPr>
            <w:tcW w:w="3840" w:type="dxa"/>
            <w:vAlign w:val="bottom"/>
          </w:tcPr>
          <w:p>
            <w:pPr>
              <w:spacing w:after="0"/>
              <w:rPr>
                <w:sz w:val="20"/>
                <w:szCs w:val="20"/>
                <w:color w:val="auto"/>
              </w:rPr>
            </w:pPr>
          </w:p>
        </w:tc>
        <w:tc>
          <w:tcPr>
            <w:tcW w:w="2360" w:type="dxa"/>
            <w:vAlign w:val="bottom"/>
          </w:tcPr>
          <w:p>
            <w:pPr>
              <w:spacing w:after="0"/>
              <w:rPr>
                <w:sz w:val="20"/>
                <w:szCs w:val="20"/>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0"/>
          <w:szCs w:val="20"/>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52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Title of each class</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9"/>
              </w:rPr>
              <w:t>which registered</w:t>
            </w:r>
          </w:p>
        </w:tc>
      </w:tr>
      <w:tr>
        <w:trPr>
          <w:trHeight w:val="195"/>
        </w:trPr>
        <w:tc>
          <w:tcPr>
            <w:tcW w:w="5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The Nasdaq Stock Market LLC</w:t>
            </w:r>
          </w:p>
        </w:tc>
      </w:tr>
      <w:tr>
        <w:trPr>
          <w:trHeight w:val="216"/>
        </w:trPr>
        <w:tc>
          <w:tcPr>
            <w:tcW w:w="52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Redeemable warrants, each whole warrant exercisable for one TMC</w:t>
            </w:r>
          </w:p>
        </w:tc>
        <w:tc>
          <w:tcPr>
            <w:tcW w:w="268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TMCWW</w:t>
            </w:r>
          </w:p>
        </w:tc>
        <w:tc>
          <w:tcPr>
            <w:tcW w:w="3360" w:type="dxa"/>
            <w:vAlign w:val="bottom"/>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30"/>
        </w:trPr>
        <w:tc>
          <w:tcPr>
            <w:tcW w:w="52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Common Share, each at an exercise price of $11.50 per share</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202"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0"/>
          <w:szCs w:val="20"/>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0"/>
          <w:szCs w:val="20"/>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613410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On March 14, 2022, TMC the metals company Inc. (the “Company”) entered into a non-binding memorandum of understanding (the “Memorandum of Understanding”) with Epsilon Carbon Pvt, LTD. (“Epsilon”). Epsilon expressed its intent in the Memorandum of Understanding to prepare a pre-feasibility report for the potential construction and operation of a plant in India to process polymetallic nodules from the seafloor and to potentially finance, permit, construct and operate the plant. The Memorandum of Understanding contemplates, among other things, the successful completion of the pre-feasibility report and the Company and Epsilon to execute a binding Heads of Terms satisfactory to each, which is expected to form the basis of the subsequent definitive agreement(s), to move forward with the potential permitting, construction, operation and supply of the proposed plant. There can be no assurance that the Company will enter into such Heads of Terms or subsequent definitive agreement(s) in a particular time period, or at all, or on terms similar to those set forth in the Memorandum of Understanding, or that if such Heads of Terms or definitive agreement(s) are entered into by the Company that the proposed plant will be financed, permitted, constructed, operated or supplied in a particular time period, or at all, or successfully.</w:t>
      </w:r>
    </w:p>
    <w:p>
      <w:pPr>
        <w:spacing w:after="0" w:line="166"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Under a binding provision of the Memorandum of Understanding, each of the Company and Epsilon have agreed not to enter into any binding agreements with any other third party for the construction and operation of a processing plant for polymetallic nodules through the earlier of the Company and Epsilon entering into the Heads of Terms contemplated by the Memorandum of Understanding and March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Certain statements made in this Current Report on Form 8-K are not historical facts but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involve significant risks and uncertainties that could cause the actual results to differ materially from those discussed in the forward-looking statements. Most of these factors are outside the Company’s control and are difficult to predict. Factors that may cause such differences include, but are not limited to: the Company’s ability to enter into the Heads of Terms and any subsequent definitive agreement(s) with Epsilon to construct, operate and supply the potential processing plant in India on terms and conditionals substantially similar to those set forth in the Memorandum of Understanding; the successful completion of the pre-feasibility report; the Company’s ability to obtain exploitation contracts for its areas in the Clarion Clipperton Zone (“CCZ”); the Company and Epsilon’s ability to secure binding offtake arrangements for the proposed plant’s production on acceptable terms and in sufficient quantities; regulatory uncertainties and the impact of government regulation and political instability on the Company’s resource activities; changes to any of the laws, rules, regulations or policies to which the Company is subject; the impact of extensive and costly environmental requirements on the Company’s operations; environmental liabilities; the impact of polymetallic nodule collection on biodiversity in the CCZ and recovery rates of impacted ecosystems; the Company’s ability to develop minerals in sufficient grade or quantities to justify commercial operations; the lack of development of seafloor polymetallic nodule deposit; uncertainty in the estimates for mineral resource calculations from certain contract areas and for the grade and quality of polymetallic nodule deposits; risks associated with natural hazards; uncertainty with respect to the specialized treatment and processing of polymetallic nodules that the Company may recover; risks associated with collective, development and processing operations, including the successful permitting, completion and operation of the proposed plant in India; fluctuations in transportation costs; testing and manufacturing of equipment; risks associated with the Company’s limited operating history; the impact of the COVID-19 pandemic; risks associated with the Company’s intellectual property; and other risks and uncertainties, including those under Item 1A “Risk Factors” in the Company’s Quarterly Report on Form 10-Q for the quarter ended September 30, 2021, filed by the Company with the Securities and Exchange Commission (“SEC”) on November 15, 2021, and in the Company’s other future filings with the SEC. The Company cautions that the foregoing list of factors is not exclusive. The Company cautions readers not to place undue reliance upon any forward-looking statements, which speak only as of the date made. The Company does not undertake or accept any obligation or undertaking to release publicly any updates or revisions to any forward-looking statements to reflect any change in its expectations or any change in events, conditions, or circumstances on which any such statement is based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9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418"/>
        </w:trPr>
        <w:tc>
          <w:tcPr>
            <w:tcW w:w="1100" w:type="dxa"/>
            <w:vAlign w:val="bottom"/>
            <w:gridSpan w:val="2"/>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9920" w:type="dxa"/>
            <w:vAlign w:val="bottom"/>
            <w:gridSpan w:val="2"/>
          </w:tcPr>
          <w:p>
            <w:pPr>
              <w:spacing w:after="0"/>
              <w:rPr>
                <w:rFonts w:ascii="Arial" w:cs="Arial" w:eastAsia="Arial" w:hAnsi="Arial"/>
                <w:sz w:val="18"/>
                <w:szCs w:val="18"/>
                <w:color w:val="0000EE"/>
                <w:w w:val="91"/>
              </w:rPr>
            </w:pPr>
            <w:hyperlink w:anchor="page7">
              <w:r>
                <w:rPr>
                  <w:rFonts w:ascii="Arial" w:cs="Arial" w:eastAsia="Arial" w:hAnsi="Arial"/>
                  <w:sz w:val="18"/>
                  <w:szCs w:val="18"/>
                  <w:color w:val="0000EE"/>
                  <w:w w:val="91"/>
                </w:rPr>
                <w:t>Non-Binding Memorandum of Understanding, dated March 14, 2022, by and between TMC the metals company Inc. and Epsilon Carbon</w:t>
              </w:r>
            </w:hyperlink>
          </w:p>
        </w:tc>
      </w:tr>
      <w:tr>
        <w:trPr>
          <w:trHeight w:val="196"/>
        </w:trPr>
        <w:tc>
          <w:tcPr>
            <w:tcW w:w="420" w:type="dxa"/>
            <w:vAlign w:val="bottom"/>
            <w:tcBorders>
              <w:top w:val="single" w:sz="8" w:color="0000EE"/>
            </w:tcBorders>
          </w:tcPr>
          <w:p>
            <w:pPr>
              <w:spacing w:after="0"/>
              <w:rPr>
                <w:sz w:val="17"/>
                <w:szCs w:val="17"/>
                <w:color w:val="auto"/>
              </w:rPr>
            </w:pPr>
          </w:p>
        </w:tc>
        <w:tc>
          <w:tcPr>
            <w:tcW w:w="680" w:type="dxa"/>
            <w:vAlign w:val="bottom"/>
          </w:tcPr>
          <w:p>
            <w:pPr>
              <w:spacing w:after="0"/>
              <w:rPr>
                <w:sz w:val="17"/>
                <w:szCs w:val="17"/>
                <w:color w:val="auto"/>
              </w:rPr>
            </w:pPr>
          </w:p>
        </w:tc>
        <w:tc>
          <w:tcPr>
            <w:tcW w:w="992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Pvt. LTD.</w:t>
              </w:r>
            </w:hyperlink>
          </w:p>
        </w:tc>
      </w:tr>
      <w:tr>
        <w:trPr>
          <w:trHeight w:val="20"/>
        </w:trPr>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0"/>
                <w:szCs w:val="20"/>
                <w:color w:val="auto"/>
              </w:rPr>
            </w:pPr>
          </w:p>
        </w:tc>
        <w:tc>
          <w:tcPr>
            <w:tcW w:w="992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p>
    <w:p>
      <w:pPr>
        <w:ind w:left="340" w:hanging="332"/>
        <w:spacing w:after="0" w:line="26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Pursuant to Item 601(b)(10)(iv) of Regulation S-K promulgated by the Securities and Exchange Commission, certain portions of this exhibit have been redacted. TMC the metals company Inc. hereby agrees to furnish supplementally to the Securities and Exchange Commission, upon its request, an unredacted copy of this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March 17, 2022</w:t>
            </w:r>
          </w:p>
        </w:tc>
        <w:tc>
          <w:tcPr>
            <w:tcW w:w="2580" w:type="dxa"/>
            <w:vAlign w:val="bottom"/>
          </w:tcPr>
          <w:p>
            <w:pPr>
              <w:ind w:left="202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r>
      <w:tr>
        <w:trPr>
          <w:trHeight w:val="195"/>
        </w:trPr>
        <w:tc>
          <w:tcPr>
            <w:tcW w:w="3620" w:type="dxa"/>
            <w:vAlign w:val="bottom"/>
          </w:tcPr>
          <w:p>
            <w:pPr>
              <w:spacing w:after="0"/>
              <w:rPr>
                <w:sz w:val="16"/>
                <w:szCs w:val="16"/>
                <w:color w:val="auto"/>
              </w:rPr>
            </w:pPr>
          </w:p>
        </w:tc>
        <w:tc>
          <w:tcPr>
            <w:tcW w:w="2580" w:type="dxa"/>
            <w:vAlign w:val="bottom"/>
          </w:tcPr>
          <w:p>
            <w:pPr>
              <w:ind w:left="2020"/>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Gerard Barron</w:t>
            </w:r>
          </w:p>
        </w:tc>
      </w:tr>
      <w:tr>
        <w:trPr>
          <w:trHeight w:val="230"/>
        </w:trPr>
        <w:tc>
          <w:tcPr>
            <w:tcW w:w="3620" w:type="dxa"/>
            <w:vAlign w:val="bottom"/>
          </w:tcPr>
          <w:p>
            <w:pPr>
              <w:spacing w:after="0"/>
              <w:rPr>
                <w:sz w:val="20"/>
                <w:szCs w:val="20"/>
                <w:color w:val="auto"/>
              </w:rPr>
            </w:pPr>
          </w:p>
        </w:tc>
        <w:tc>
          <w:tcPr>
            <w:tcW w:w="2580" w:type="dxa"/>
            <w:vAlign w:val="bottom"/>
          </w:tcPr>
          <w:p>
            <w:pPr>
              <w:ind w:left="202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10120"/>
        <w:spacing w:after="0"/>
        <w:rPr>
          <w:sz w:val="20"/>
          <w:szCs w:val="20"/>
          <w:color w:val="auto"/>
        </w:rPr>
      </w:pPr>
      <w:r>
        <w:rPr>
          <w:rFonts w:ascii="Arial" w:cs="Arial" w:eastAsia="Arial" w:hAnsi="Arial"/>
          <w:sz w:val="19"/>
          <w:szCs w:val="19"/>
          <w:b w:val="1"/>
          <w:bCs w:val="1"/>
          <w:color w:val="auto"/>
        </w:rPr>
        <w:t>Exhibit 10.1</w:t>
      </w:r>
    </w:p>
    <w:p>
      <w:pPr>
        <w:spacing w:after="0" w:line="277"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Memorandum of Understanding</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Business Collaboration to Establish the World’s First Commercial Nodule Processing Plant in India to Serve Battery Cathode and Steel Manufacturing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This Memorandum of Understanding (the “</w:t>
      </w:r>
      <w:r>
        <w:rPr>
          <w:rFonts w:ascii="Arial" w:cs="Arial" w:eastAsia="Arial" w:hAnsi="Arial"/>
          <w:sz w:val="18"/>
          <w:szCs w:val="18"/>
          <w:b w:val="1"/>
          <w:bCs w:val="1"/>
          <w:color w:val="auto"/>
        </w:rPr>
        <w:t>MOU</w:t>
      </w:r>
      <w:r>
        <w:rPr>
          <w:rFonts w:ascii="Arial" w:cs="Arial" w:eastAsia="Arial" w:hAnsi="Arial"/>
          <w:sz w:val="18"/>
          <w:szCs w:val="18"/>
          <w:color w:val="auto"/>
        </w:rPr>
        <w:t>”) is made on 14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March 2022 between:</w:t>
      </w:r>
    </w:p>
    <w:p>
      <w:pPr>
        <w:spacing w:after="0" w:line="135" w:lineRule="exact"/>
        <w:rPr>
          <w:sz w:val="20"/>
          <w:szCs w:val="20"/>
          <w:color w:val="auto"/>
        </w:rPr>
      </w:pPr>
    </w:p>
    <w:p>
      <w:pPr>
        <w:ind w:left="340" w:right="4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Epsilon Carbon Pvt. LTD., a company incorporated under the laws of India with CIN No: U24100MH2010PTC207156 and its correspondence address at 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&amp;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Floor, Upadrastha House, 48, Dr V.B. Gandhi Marg, Kala Ghoda Fort, Mumbai-400023, India (“</w:t>
      </w:r>
      <w:r>
        <w:rPr>
          <w:rFonts w:ascii="Arial" w:cs="Arial" w:eastAsia="Arial" w:hAnsi="Arial"/>
          <w:sz w:val="17"/>
          <w:szCs w:val="17"/>
          <w:b w:val="1"/>
          <w:bCs w:val="1"/>
          <w:color w:val="auto"/>
        </w:rPr>
        <w:t>EPSILON CARBON</w:t>
      </w:r>
      <w:r>
        <w:rPr>
          <w:rFonts w:ascii="Arial" w:cs="Arial" w:eastAsia="Arial" w:hAnsi="Arial"/>
          <w:sz w:val="17"/>
          <w:szCs w:val="17"/>
          <w:color w:val="auto"/>
        </w:rPr>
        <w:t>”); and</w:t>
      </w:r>
    </w:p>
    <w:p>
      <w:pPr>
        <w:spacing w:after="0" w:line="24" w:lineRule="exact"/>
        <w:rPr>
          <w:rFonts w:ascii="Arial" w:cs="Arial" w:eastAsia="Arial" w:hAnsi="Arial"/>
          <w:sz w:val="17"/>
          <w:szCs w:val="17"/>
          <w:color w:val="auto"/>
        </w:rPr>
      </w:pPr>
    </w:p>
    <w:p>
      <w:pPr>
        <w:ind w:left="340" w:right="8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TMC The Metals Company Inc., a company organized under the laws of British Columbia, Canada with registered number BC0901047 and registered address at 10th Floor, 595 Howe Street, Vancouver, British Columbia V6C 2T5, Canada ("</w:t>
      </w:r>
      <w:r>
        <w:rPr>
          <w:rFonts w:ascii="Arial" w:cs="Arial" w:eastAsia="Arial" w:hAnsi="Arial"/>
          <w:sz w:val="18"/>
          <w:szCs w:val="18"/>
          <w:b w:val="1"/>
          <w:bCs w:val="1"/>
          <w:color w:val="auto"/>
        </w:rPr>
        <w:t>TMC</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EPSILON CARBON and TMC are hereinafter jointly referred to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This MoU is structured into the following sections:</w:t>
      </w:r>
    </w:p>
    <w:p>
      <w:pPr>
        <w:spacing w:after="0" w:line="2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Background</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Strategic Intent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Zero Plant: Pre-Feasibility Report (“PFR”)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Project Zero Plant: Heads of Terms Agreement</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Other than as contemplated in the section titled “Binding Provisions”, nothing herein shall be construed, interpreted, or otherwise deemed to be legally binding, and the Parties expressly acknowledge, except as specifically set forth below, and confirm that they do not intend to create any legal obligations by their signing of this MOU.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right="16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TMC</w:t>
      </w:r>
    </w:p>
    <w:p>
      <w:pPr>
        <w:spacing w:after="0" w:line="221" w:lineRule="exact"/>
        <w:rPr>
          <w:sz w:val="20"/>
          <w:szCs w:val="20"/>
          <w:color w:val="auto"/>
        </w:rPr>
      </w:pPr>
    </w:p>
    <w:p>
      <w:pPr>
        <w:ind w:right="100"/>
        <w:spacing w:after="0" w:line="281" w:lineRule="auto"/>
        <w:rPr>
          <w:sz w:val="20"/>
          <w:szCs w:val="20"/>
          <w:color w:val="auto"/>
        </w:rPr>
      </w:pPr>
      <w:r>
        <w:rPr>
          <w:rFonts w:ascii="Arial" w:cs="Arial" w:eastAsia="Arial" w:hAnsi="Arial"/>
          <w:sz w:val="17"/>
          <w:szCs w:val="17"/>
          <w:color w:val="auto"/>
        </w:rPr>
        <w:t>TMC The Metals Company, Inc. (“</w:t>
      </w:r>
      <w:r>
        <w:rPr>
          <w:rFonts w:ascii="Arial" w:cs="Arial" w:eastAsia="Arial" w:hAnsi="Arial"/>
          <w:sz w:val="17"/>
          <w:szCs w:val="17"/>
          <w:b w:val="1"/>
          <w:bCs w:val="1"/>
          <w:color w:val="auto"/>
        </w:rPr>
        <w:t>TMC</w:t>
      </w:r>
      <w:r>
        <w:rPr>
          <w:rFonts w:ascii="Arial" w:cs="Arial" w:eastAsia="Arial" w:hAnsi="Arial"/>
          <w:sz w:val="17"/>
          <w:szCs w:val="17"/>
          <w:color w:val="auto"/>
        </w:rPr>
        <w:t>”) Established in 2011, TMC is a NASDAQ-listed Canadian company developing a polymetallic nodule resource found on the seafloor in the international waters of the Clarion Clipperton Zone (CCZ) and regulated by the International Seabed Authority. TMC holds exploration and commercial rights to three areas in the CCZ (NORI, TOML, Marawa) and has issued Canadian NI 43-101 and SEC SK 1300 compliant technical resource statements on two of its exploration contract areas (TOML and NORI). [***]</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About EPSILON CARBON</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Epsilon Carbon Pvt. Ltd., (“</w:t>
      </w:r>
      <w:r>
        <w:rPr>
          <w:rFonts w:ascii="Arial" w:cs="Arial" w:eastAsia="Arial" w:hAnsi="Arial"/>
          <w:sz w:val="17"/>
          <w:szCs w:val="17"/>
          <w:b w:val="1"/>
          <w:bCs w:val="1"/>
          <w:color w:val="auto"/>
        </w:rPr>
        <w:t>EPSILON CARBON</w:t>
      </w:r>
      <w:r>
        <w:rPr>
          <w:rFonts w:ascii="Arial" w:cs="Arial" w:eastAsia="Arial" w:hAnsi="Arial"/>
          <w:sz w:val="17"/>
          <w:szCs w:val="17"/>
          <w:color w:val="auto"/>
        </w:rPr>
        <w:t>”) Established in 2010, Epsilon Carbon Pvt Ltd is a leading manufacturer of coal tar derivatives and</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India's only backward-integrated company with a dedicated source of raw materials generated by the JSW Group’s steel manufacturing plant. EPSILON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CARBON has entered the lithium-ion battery materials value chain in 2018 with the vision to develop and manufacture innovative, high performance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quality carbon products for anode components of lithium-ion batteries by founding a dedicated subsidiary </w:t>
      </w:r>
      <w:r>
        <w:rPr>
          <w:rFonts w:ascii="Arial" w:cs="Arial" w:eastAsia="Arial" w:hAnsi="Arial"/>
          <w:sz w:val="17"/>
          <w:szCs w:val="17"/>
          <w:u w:val="single" w:color="auto"/>
          <w:color w:val="auto"/>
        </w:rPr>
        <w:t>Epsilon Advanced Materials</w:t>
      </w:r>
      <w:r>
        <w:rPr>
          <w:rFonts w:ascii="Arial" w:cs="Arial" w:eastAsia="Arial" w:hAnsi="Arial"/>
          <w:sz w:val="17"/>
          <w:szCs w:val="17"/>
          <w:color w:val="auto"/>
        </w:rPr>
        <w:t xml:space="preserve"> Private Limited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EPSILON ADVANCED MATERIALS</w:t>
      </w:r>
      <w:r>
        <w:rPr>
          <w:rFonts w:ascii="Arial" w:cs="Arial" w:eastAsia="Arial" w:hAnsi="Arial"/>
          <w:sz w:val="16"/>
          <w:szCs w:val="16"/>
          <w:color w:val="auto"/>
        </w:rPr>
        <w:t>”). The subsidiary is currently focused on the production of synthetic flake graphite, a precursor material used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battery anodes. EPSILON ADVANCED MATERIALS has built a greenfield plant with a commercial capacity of 2,500 tons per annum for anode precursor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material (EMC series) and a pilot facility for coke powder (EMP series) and graphite anodes (EMG series). [***] To complement their presence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anode space, EPSILON CARBON aims to produce cathode materials in India [***].</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Interactions between parties to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8" w:name="page9"/>
    <w:bookmarkEnd w:id="8"/>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Strategic Intent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intent of the Parties is to develop a greenfield Project Zero nodule processing plant in India wherein EPSILON CARBON would finance, permit, build, and operate the Project Zero Plant in India for the sole purpose of processing polymetallic nodules collected from NORI-D area. Moreover, the parties intend to jointly market manganese silicate to manganese alloy producers or their steel manufacturing customers in India, and precursors of battery cathode materials to global customers initially, and India subsequently, [***].</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high-level timeline contemplated by the Parties is as follows:</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the immediate next steps, the Parties will:</w:t>
      </w:r>
    </w:p>
    <w:p>
      <w:pPr>
        <w:spacing w:after="0" w:line="225" w:lineRule="exact"/>
        <w:rPr>
          <w:sz w:val="20"/>
          <w:szCs w:val="20"/>
          <w:color w:val="auto"/>
        </w:rPr>
      </w:pPr>
    </w:p>
    <w:p>
      <w:pPr>
        <w:ind w:left="660" w:right="40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Complete a PFR for Project Zero Plant (incl. Rotary Kilns, Electric Arc Furnaces and Pierce-Smith Converters) at a suitable site in India with access to deep-water port and powered by renewables;</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Start negotiating the commercial arrangement for Project Zero, and may mutually agree to enter into a binding Heads of Terms Agreement by September 30, 2022 to capture the commercial structure [***] of the Project Zero Plant.</w:t>
      </w:r>
    </w:p>
    <w:p>
      <w:pPr>
        <w:spacing w:after="0" w:line="166" w:lineRule="exact"/>
        <w:rPr>
          <w:rFonts w:ascii="Arial" w:cs="Arial" w:eastAsia="Arial" w:hAnsi="Arial"/>
          <w:sz w:val="18"/>
          <w:szCs w:val="18"/>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Project Zero Plant: PFR</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mentioned in the timeline above, TMC and EPSILON CARBON currently intend to jointly complete a Pre-Feasibility Report (PFR) for Project Zero Plant in India [***].</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Objective</w:t>
            </w:r>
          </w:p>
        </w:tc>
        <w:tc>
          <w:tcPr>
            <w:tcW w:w="8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4"/>
              </w:rPr>
              <w:t>The objective of the PFR is to establish feasibility and business case for a Project Zero Plant to process nodules from</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NORI-D area in the Clarion-Clipperton Zone to a NiCuCo matte and a Mn Silicate product at a selected site in India.</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333"/>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333"/>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Project Zero Plant: Heads of Terms Agreement</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TMC and EPSILON CARBON may mutually agree to enter into a binding Heads of Terms Agreement by September 30, 2022 to capture the commercial structure [***] of the Project Zero Plant.</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414"/>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432"/>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Cooperation</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5"/>
              </w:rPr>
              <w:t>During the Term (as defined below), the Parties agree to keep each other reasonably informed about any changes in</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1"/>
              </w:rPr>
              <w:t>circumstance which may affect the delivery of a completed PFR, or this MOU or, in the case of NORI, any changes in the</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timeline to issuance of the exploitation contract.</w:t>
            </w:r>
          </w:p>
        </w:tc>
      </w:tr>
      <w:tr>
        <w:trPr>
          <w:trHeight w:val="175"/>
        </w:trPr>
        <w:tc>
          <w:tcPr>
            <w:tcW w:w="2280" w:type="dxa"/>
            <w:vAlign w:val="bottom"/>
            <w:tcBorders>
              <w:left w:val="single" w:sz="8" w:color="auto"/>
              <w:bottom w:val="single" w:sz="8" w:color="auto"/>
              <w:right w:val="single" w:sz="8" w:color="auto"/>
            </w:tcBorders>
          </w:tcPr>
          <w:p>
            <w:pPr>
              <w:spacing w:after="0"/>
              <w:rPr>
                <w:sz w:val="15"/>
                <w:szCs w:val="15"/>
                <w:color w:val="auto"/>
              </w:rPr>
            </w:pPr>
          </w:p>
        </w:tc>
        <w:tc>
          <w:tcPr>
            <w:tcW w:w="8960" w:type="dxa"/>
            <w:vAlign w:val="bottom"/>
            <w:tcBorders>
              <w:bottom w:val="single" w:sz="8" w:color="auto"/>
              <w:right w:val="single" w:sz="8" w:color="auto"/>
            </w:tcBorders>
          </w:tcPr>
          <w:p>
            <w:pPr>
              <w:spacing w:after="0"/>
              <w:rPr>
                <w:sz w:val="15"/>
                <w:szCs w:val="15"/>
                <w:color w:val="auto"/>
              </w:rPr>
            </w:pPr>
          </w:p>
        </w:tc>
      </w:tr>
      <w:tr>
        <w:trPr>
          <w:trHeight w:val="669"/>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0" w:name="page11"/>
    <w:bookmarkEnd w:id="10"/>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8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Public</w:t>
            </w:r>
          </w:p>
        </w:tc>
        <w:tc>
          <w:tcPr>
            <w:tcW w:w="89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Within three (3) business days of the execution of this MOU the Parties shall issue a joint press release in the form</w:t>
            </w:r>
          </w:p>
        </w:tc>
      </w:tr>
      <w:tr>
        <w:trPr>
          <w:trHeight w:val="234"/>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disclosure</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 xml:space="preserve">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color w:val="auto"/>
              </w:rPr>
              <w:t>Press Release</w:t>
            </w:r>
            <w:r>
              <w:rPr>
                <w:rFonts w:ascii="Arial" w:cs="Arial" w:eastAsia="Arial" w:hAnsi="Arial"/>
                <w:sz w:val="18"/>
                <w:szCs w:val="18"/>
                <w:color w:val="auto"/>
              </w:rPr>
              <w:t>”).</w:t>
            </w:r>
          </w:p>
        </w:tc>
      </w:tr>
      <w:tr>
        <w:trPr>
          <w:trHeight w:val="418"/>
        </w:trPr>
        <w:tc>
          <w:tcPr>
            <w:tcW w:w="2280" w:type="dxa"/>
            <w:vAlign w:val="bottom"/>
            <w:tcBorders>
              <w:left w:val="single" w:sz="8" w:color="auto"/>
              <w:right w:val="single" w:sz="8" w:color="auto"/>
            </w:tcBorders>
          </w:tcPr>
          <w:p>
            <w:pPr>
              <w:spacing w:after="0"/>
              <w:rPr>
                <w:sz w:val="24"/>
                <w:szCs w:val="24"/>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7"/>
              </w:rPr>
              <w:t>Except as set forth above, each Party shall not, without the prior written consent of the other Party issue any news</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release, advertisement or public communication in which any of the other Party, any of its affiliates or their respective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activities or relationship with the Party are mentioned, except where the issuance of any news release or other public</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communication may be required by a Party in order to comply with applicable law or rules of a stock exchange.</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Confidentiality</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2"/>
              </w:rPr>
              <w:t>Each of the Parties agrees that the terms of the Confidentiality Agreement executed by the parties on December 9, 2021</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continues to govern the information exchanged between the parties until the earlier of (i) the execution of the Heads of</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Terms Agreement and the Termination Date (as defined below).</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Term</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This MOU shall be valid from the date of execution until the earlier of (the “Term”) (i) mutual execution of the Heads of</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Terms Agreement or (ii) March 31, 2023 (the “Termination Date”).</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Exclusivity</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7"/>
              </w:rPr>
              <w:t>From the date of execution of this MOU until the Termination Date, the Parties mutually agree not to enter into any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2"/>
              </w:rPr>
              <w:t>binding agreements with any third party for the construction and operation of a processing plant for polymetallic nodules</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such as the ones found on the seafloor of the international waters of the Clarion Clipperton Zone (CCZ).</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5"/>
        </w:trPr>
        <w:tc>
          <w:tcPr>
            <w:tcW w:w="228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b w:val="1"/>
                <w:bCs w:val="1"/>
                <w:color w:val="auto"/>
              </w:rPr>
              <w:t>Governing Law</w:t>
            </w:r>
          </w:p>
        </w:tc>
        <w:tc>
          <w:tcPr>
            <w:tcW w:w="896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4"/>
              </w:rPr>
              <w:t>This MOU shall be governed by, and construed in accordance with Indian law. The Courts of India will have exclusive</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5"/>
              </w:rPr>
              <w:t>jurisdiction in relation to any claim or dispute arising under this MOU. Each Party irrevocably waives any right it may</w:t>
            </w:r>
          </w:p>
        </w:tc>
      </w:tr>
      <w:tr>
        <w:trPr>
          <w:trHeight w:val="216"/>
        </w:trPr>
        <w:tc>
          <w:tcPr>
            <w:tcW w:w="2280" w:type="dxa"/>
            <w:vAlign w:val="bottom"/>
            <w:tcBorders>
              <w:left w:val="single" w:sz="8" w:color="auto"/>
              <w:right w:val="single" w:sz="8" w:color="auto"/>
            </w:tcBorders>
          </w:tcPr>
          <w:p>
            <w:pPr>
              <w:spacing w:after="0"/>
              <w:rPr>
                <w:sz w:val="18"/>
                <w:szCs w:val="18"/>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3"/>
              </w:rPr>
              <w:t>have to object to any action being brought in those courts, to claim that the action has been brought in an inappropriate</w:t>
            </w:r>
          </w:p>
        </w:tc>
      </w:tr>
      <w:tr>
        <w:trPr>
          <w:trHeight w:val="230"/>
        </w:trPr>
        <w:tc>
          <w:tcPr>
            <w:tcW w:w="2280" w:type="dxa"/>
            <w:vAlign w:val="bottom"/>
            <w:tcBorders>
              <w:left w:val="single" w:sz="8" w:color="auto"/>
              <w:right w:val="single" w:sz="8" w:color="auto"/>
            </w:tcBorders>
          </w:tcPr>
          <w:p>
            <w:pPr>
              <w:spacing w:after="0"/>
              <w:rPr>
                <w:sz w:val="20"/>
                <w:szCs w:val="20"/>
                <w:color w:val="auto"/>
              </w:rPr>
            </w:pP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forum, or to claim that those courts do not have jurisdiction.</w:t>
            </w:r>
          </w:p>
        </w:tc>
      </w:tr>
      <w:tr>
        <w:trPr>
          <w:trHeight w:val="216"/>
        </w:trPr>
        <w:tc>
          <w:tcPr>
            <w:tcW w:w="2280" w:type="dxa"/>
            <w:vAlign w:val="bottom"/>
            <w:tcBorders>
              <w:left w:val="single" w:sz="8" w:color="auto"/>
              <w:bottom w:val="single" w:sz="8" w:color="auto"/>
              <w:right w:val="single" w:sz="8" w:color="auto"/>
            </w:tcBorders>
          </w:tcPr>
          <w:p>
            <w:pPr>
              <w:spacing w:after="0"/>
              <w:rPr>
                <w:sz w:val="18"/>
                <w:szCs w:val="18"/>
                <w:color w:val="auto"/>
              </w:rPr>
            </w:pPr>
          </w:p>
        </w:tc>
        <w:tc>
          <w:tcPr>
            <w:tcW w:w="8960" w:type="dxa"/>
            <w:vAlign w:val="bottom"/>
            <w:tcBorders>
              <w:bottom w:val="single" w:sz="8" w:color="auto"/>
              <w:right w:val="single" w:sz="8" w:color="auto"/>
            </w:tcBorders>
          </w:tcPr>
          <w:p>
            <w:pPr>
              <w:spacing w:after="0"/>
              <w:rPr>
                <w:sz w:val="18"/>
                <w:szCs w:val="18"/>
                <w:color w:val="auto"/>
              </w:rPr>
            </w:pPr>
          </w:p>
        </w:tc>
      </w:tr>
      <w:tr>
        <w:trPr>
          <w:trHeight w:val="191"/>
        </w:trPr>
        <w:tc>
          <w:tcPr>
            <w:tcW w:w="2280" w:type="dxa"/>
            <w:vAlign w:val="bottom"/>
            <w:tcBorders>
              <w:left w:val="single" w:sz="8" w:color="auto"/>
              <w:right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rPr>
              <w:t>Binding</w:t>
            </w:r>
          </w:p>
        </w:tc>
        <w:tc>
          <w:tcPr>
            <w:tcW w:w="8960" w:type="dxa"/>
            <w:vAlign w:val="bottom"/>
            <w:tcBorders>
              <w:right w:val="single" w:sz="8" w:color="auto"/>
            </w:tcBorders>
          </w:tcPr>
          <w:p>
            <w:pPr>
              <w:ind w:left="100"/>
              <w:spacing w:after="0" w:line="191" w:lineRule="exact"/>
              <w:rPr>
                <w:sz w:val="20"/>
                <w:szCs w:val="20"/>
                <w:color w:val="auto"/>
              </w:rPr>
            </w:pPr>
            <w:r>
              <w:rPr>
                <w:rFonts w:ascii="Arial" w:cs="Arial" w:eastAsia="Arial" w:hAnsi="Arial"/>
                <w:sz w:val="18"/>
                <w:szCs w:val="18"/>
                <w:color w:val="auto"/>
                <w:w w:val="94"/>
              </w:rPr>
              <w:t>The only provisions of this MOU that are binding upon the Parties as of the execution of this MOU by both Parties are</w:t>
            </w:r>
          </w:p>
        </w:tc>
      </w:tr>
      <w:tr>
        <w:trPr>
          <w:trHeight w:val="220"/>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Provisions</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8"/>
              </w:rPr>
              <w:t>the paragraphs captioned (i) Cooperation, (ii) Confidentiality (iii) Term (iv) Exclusivity, (v) Public Announcements,</w:t>
            </w:r>
          </w:p>
        </w:tc>
      </w:tr>
      <w:tr>
        <w:trPr>
          <w:trHeight w:val="230"/>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8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7"/>
              </w:rPr>
              <w:t>(vi) Governing Law and (vii) Binding Provisions and the definition of any defined term used but not defined therein.</w:t>
            </w:r>
          </w:p>
        </w:tc>
      </w:tr>
      <w:tr>
        <w:trPr>
          <w:trHeight w:val="228"/>
        </w:trPr>
        <w:tc>
          <w:tcPr>
            <w:tcW w:w="22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w:t>
            </w:r>
          </w:p>
        </w:tc>
        <w:tc>
          <w:tcPr>
            <w:tcW w:w="89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r>
      <w:tr>
        <w:trPr>
          <w:trHeight w:val="333"/>
        </w:trPr>
        <w:tc>
          <w:tcPr>
            <w:tcW w:w="2280" w:type="dxa"/>
            <w:vAlign w:val="bottom"/>
            <w:tcBorders>
              <w:left w:val="single" w:sz="8" w:color="auto"/>
              <w:bottom w:val="single" w:sz="8" w:color="auto"/>
              <w:right w:val="single" w:sz="8" w:color="auto"/>
            </w:tcBorders>
          </w:tcPr>
          <w:p>
            <w:pPr>
              <w:spacing w:after="0"/>
              <w:rPr>
                <w:sz w:val="24"/>
                <w:szCs w:val="24"/>
                <w:color w:val="auto"/>
              </w:rPr>
            </w:pPr>
          </w:p>
        </w:tc>
        <w:tc>
          <w:tcPr>
            <w:tcW w:w="8960" w:type="dxa"/>
            <w:vAlign w:val="bottom"/>
            <w:tcBorders>
              <w:bottom w:val="single" w:sz="8" w:color="auto"/>
              <w:right w:val="single" w:sz="8" w:color="auto"/>
            </w:tcBorders>
          </w:tcPr>
          <w:p>
            <w:pPr>
              <w:spacing w:after="0"/>
              <w:rPr>
                <w:sz w:val="24"/>
                <w:szCs w:val="24"/>
                <w:color w:val="auto"/>
              </w:rPr>
            </w:pPr>
          </w:p>
        </w:tc>
      </w:tr>
      <w:tr>
        <w:trPr>
          <w:trHeight w:val="695"/>
        </w:trPr>
        <w:tc>
          <w:tcPr>
            <w:tcW w:w="2280" w:type="dxa"/>
            <w:vAlign w:val="bottom"/>
            <w:tcBorders>
              <w:bottom w:val="single" w:sz="8" w:color="auto"/>
            </w:tcBorders>
          </w:tcPr>
          <w:p>
            <w:pPr>
              <w:spacing w:after="0"/>
              <w:rPr>
                <w:sz w:val="24"/>
                <w:szCs w:val="24"/>
                <w:color w:val="auto"/>
              </w:rPr>
            </w:pPr>
          </w:p>
        </w:tc>
        <w:tc>
          <w:tcPr>
            <w:tcW w:w="8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1" w:name="page12"/>
    <w:bookmarkEnd w:id="11"/>
    <w:p>
      <w:pPr>
        <w:ind w:right="200"/>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THE INFORMATION (I) IS NOT MATERIAL AND (II) WOULD LIKELY CAUSE COMPETITIVE HARM IF PUBLICLY DISCLOSED.</w:t>
      </w:r>
    </w:p>
    <w:p>
      <w:pPr>
        <w:spacing w:after="0" w:line="202" w:lineRule="exact"/>
        <w:rPr>
          <w:sz w:val="20"/>
          <w:szCs w:val="20"/>
          <w:color w:val="auto"/>
        </w:rPr>
      </w:pPr>
    </w:p>
    <w:p>
      <w:pPr>
        <w:ind w:left="120"/>
        <w:spacing w:after="0"/>
        <w:tabs>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7200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Gerard Barron</w:t>
            </w:r>
          </w:p>
        </w:tc>
        <w:tc>
          <w:tcPr>
            <w:tcW w:w="220" w:type="dxa"/>
            <w:vAlign w:val="bottom"/>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Vikram Handa</w:t>
            </w:r>
          </w:p>
        </w:tc>
      </w:tr>
      <w:tr>
        <w:trPr>
          <w:trHeight w:val="411"/>
        </w:trPr>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Gerard Barron</w:t>
            </w:r>
          </w:p>
        </w:tc>
        <w:tc>
          <w:tcPr>
            <w:tcW w:w="5500" w:type="dxa"/>
            <w:vAlign w:val="bottom"/>
          </w:tcPr>
          <w:p>
            <w:pPr>
              <w:spacing w:after="0"/>
              <w:rPr>
                <w:sz w:val="20"/>
                <w:szCs w:val="20"/>
                <w:color w:val="auto"/>
              </w:rPr>
            </w:pPr>
            <w:r>
              <w:rPr>
                <w:rFonts w:ascii="Arial" w:cs="Arial" w:eastAsia="Arial" w:hAnsi="Arial"/>
                <w:sz w:val="18"/>
                <w:szCs w:val="18"/>
                <w:b w:val="1"/>
                <w:bCs w:val="1"/>
                <w:color w:val="auto"/>
              </w:rPr>
              <w:t>Vikram Handa</w:t>
            </w: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Chairman and CEO</w:t>
            </w:r>
          </w:p>
        </w:tc>
        <w:tc>
          <w:tcPr>
            <w:tcW w:w="5500" w:type="dxa"/>
            <w:vAlign w:val="bottom"/>
          </w:tcPr>
          <w:p>
            <w:pPr>
              <w:spacing w:after="0"/>
              <w:rPr>
                <w:sz w:val="20"/>
                <w:szCs w:val="20"/>
                <w:color w:val="auto"/>
              </w:rPr>
            </w:pPr>
            <w:r>
              <w:rPr>
                <w:rFonts w:ascii="Arial" w:cs="Arial" w:eastAsia="Arial" w:hAnsi="Arial"/>
                <w:sz w:val="18"/>
                <w:szCs w:val="18"/>
                <w:color w:val="auto"/>
              </w:rPr>
              <w:t>Managing Director</w:t>
            </w:r>
          </w:p>
        </w:tc>
      </w:t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The Metals Company</w:t>
            </w:r>
          </w:p>
        </w:tc>
        <w:tc>
          <w:tcPr>
            <w:tcW w:w="5500" w:type="dxa"/>
            <w:vAlign w:val="bottom"/>
          </w:tcPr>
          <w:p>
            <w:pPr>
              <w:spacing w:after="0"/>
              <w:rPr>
                <w:sz w:val="20"/>
                <w:szCs w:val="20"/>
                <w:color w:val="auto"/>
              </w:rPr>
            </w:pPr>
            <w:r>
              <w:rPr>
                <w:rFonts w:ascii="Arial" w:cs="Arial" w:eastAsia="Arial" w:hAnsi="Arial"/>
                <w:sz w:val="18"/>
                <w:szCs w:val="18"/>
                <w:color w:val="auto"/>
              </w:rPr>
              <w:t>Epsilon Carbon Pvt. Ltd.</w:t>
            </w:r>
          </w:p>
        </w:tc>
      </w:tr>
      <w:tr>
        <w:trPr>
          <w:trHeight w:val="675"/>
        </w:trPr>
        <w:tc>
          <w:tcPr>
            <w:tcW w:w="5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4"/>
    </w:lvl>
  </w:abstractNum>
  <w:abstractNum w:abstractNumId="1">
    <w:nsid w:val="3D1B58BA"/>
    <w:multiLevelType w:val="hybridMultilevel"/>
    <w:lvl w:ilvl="0">
      <w:lvlJc w:val="left"/>
      <w:lvlText w:val="(%1)"/>
      <w:numFmt w:val="lowerRoman"/>
      <w:start w:val="6"/>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4"/>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2"/>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2022-03-17T08:06:49Z</dcterms:created>
  <dcterms:modified xsi:type="dcterms:W3CDTF">2022-03-17T08:06:49Z</dcterms:modified>
</cp:coreProperties>
</file>