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ind w:left="464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ind w:left="482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48"/>
        </w:trPr>
        <w:tc>
          <w:tcPr>
            <w:tcW w:w="3340" w:type="dxa"/>
            <w:vAlign w:val="bottom"/>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British Columbia, Canada</w:t>
            </w:r>
          </w:p>
        </w:tc>
        <w:tc>
          <w:tcPr>
            <w:tcW w:w="4800" w:type="dxa"/>
            <w:vAlign w:val="bottom"/>
          </w:tcPr>
          <w:p>
            <w:pPr>
              <w:jc w:val="right"/>
              <w:ind w:right="2120"/>
              <w:spacing w:after="0"/>
              <w:rPr>
                <w:sz w:val="20"/>
                <w:szCs w:val="20"/>
                <w:color w:val="auto"/>
              </w:rPr>
            </w:pPr>
            <w:r>
              <w:rPr>
                <w:rFonts w:ascii="Times New Roman" w:cs="Times New Roman" w:eastAsia="Times New Roman" w:hAnsi="Times New Roman"/>
                <w:sz w:val="12"/>
                <w:szCs w:val="12"/>
                <w:b w:val="1"/>
                <w:bCs w:val="1"/>
                <w:color w:val="auto"/>
              </w:rPr>
              <w:t>001-39281</w:t>
            </w:r>
          </w:p>
        </w:tc>
        <w:tc>
          <w:tcPr>
            <w:tcW w:w="3160" w:type="dxa"/>
            <w:vAlign w:val="bottom"/>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44"/>
        </w:trPr>
        <w:tc>
          <w:tcPr>
            <w:tcW w:w="33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(Commission File Number)</w:t>
            </w:r>
          </w:p>
        </w:tc>
        <w:tc>
          <w:tcPr>
            <w:tcW w:w="3160" w:type="dxa"/>
            <w:vAlign w:val="bottom"/>
          </w:tcPr>
          <w:p>
            <w:pPr>
              <w:jc w:val="center"/>
              <w:ind w:right="54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334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8"/>
              </w:rPr>
              <w:t>incorporation)</w:t>
            </w:r>
          </w:p>
        </w:tc>
        <w:tc>
          <w:tcPr>
            <w:tcW w:w="4800" w:type="dxa"/>
            <w:vAlign w:val="bottom"/>
          </w:tcPr>
          <w:p>
            <w:pPr>
              <w:spacing w:after="0"/>
              <w:rPr>
                <w:sz w:val="13"/>
                <w:szCs w:val="13"/>
                <w:color w:val="auto"/>
              </w:rPr>
            </w:pPr>
          </w:p>
        </w:tc>
        <w:tc>
          <w:tcPr>
            <w:tcW w:w="3160" w:type="dxa"/>
            <w:vAlign w:val="bottom"/>
          </w:tcPr>
          <w:p>
            <w:pPr>
              <w:jc w:val="center"/>
              <w:ind w:right="52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192"/>
        </w:trPr>
        <w:tc>
          <w:tcPr>
            <w:tcW w:w="3340" w:type="dxa"/>
            <w:vAlign w:val="bottom"/>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595 Howe Street, 10th Floor</w:t>
            </w:r>
          </w:p>
        </w:tc>
        <w:tc>
          <w:tcPr>
            <w:tcW w:w="48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48"/>
        </w:trPr>
        <w:tc>
          <w:tcPr>
            <w:tcW w:w="3340" w:type="dxa"/>
            <w:vAlign w:val="bottom"/>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w w:val="99"/>
              </w:rPr>
              <w:t>Vancouver, British Columbia</w:t>
            </w:r>
          </w:p>
        </w:tc>
        <w:tc>
          <w:tcPr>
            <w:tcW w:w="4800" w:type="dxa"/>
            <w:vAlign w:val="bottom"/>
          </w:tcPr>
          <w:p>
            <w:pPr>
              <w:spacing w:after="0"/>
              <w:rPr>
                <w:sz w:val="12"/>
                <w:szCs w:val="12"/>
                <w:color w:val="auto"/>
              </w:rPr>
            </w:pPr>
          </w:p>
        </w:tc>
        <w:tc>
          <w:tcPr>
            <w:tcW w:w="3160" w:type="dxa"/>
            <w:vAlign w:val="bottom"/>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V6C 2T5</w:t>
            </w:r>
          </w:p>
        </w:tc>
      </w:tr>
      <w:tr>
        <w:trPr>
          <w:trHeight w:val="144"/>
        </w:trPr>
        <w:tc>
          <w:tcPr>
            <w:tcW w:w="334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(Address of principal executive</w:t>
            </w:r>
          </w:p>
        </w:tc>
        <w:tc>
          <w:tcPr>
            <w:tcW w:w="4800" w:type="dxa"/>
            <w:vAlign w:val="bottom"/>
          </w:tcPr>
          <w:p>
            <w:pPr>
              <w:spacing w:after="0"/>
              <w:rPr>
                <w:sz w:val="12"/>
                <w:szCs w:val="12"/>
                <w:color w:val="auto"/>
              </w:rPr>
            </w:pPr>
          </w:p>
        </w:tc>
        <w:tc>
          <w:tcPr>
            <w:tcW w:w="3160" w:type="dxa"/>
            <w:vAlign w:val="bottom"/>
          </w:tcPr>
          <w:p>
            <w:pPr>
              <w:jc w:val="center"/>
              <w:ind w:right="520"/>
              <w:spacing w:after="0"/>
              <w:rPr>
                <w:sz w:val="20"/>
                <w:szCs w:val="20"/>
                <w:color w:val="auto"/>
              </w:rPr>
            </w:pPr>
            <w:r>
              <w:rPr>
                <w:rFonts w:ascii="Times New Roman" w:cs="Times New Roman" w:eastAsia="Times New Roman" w:hAnsi="Times New Roman"/>
                <w:sz w:val="12"/>
                <w:szCs w:val="12"/>
                <w:color w:val="auto"/>
              </w:rPr>
              <w:t>(Zip Code)</w:t>
            </w:r>
          </w:p>
        </w:tc>
      </w:tr>
      <w:tr>
        <w:trPr>
          <w:trHeight w:val="155"/>
        </w:trPr>
        <w:tc>
          <w:tcPr>
            <w:tcW w:w="3340" w:type="dxa"/>
            <w:vAlign w:val="bottom"/>
          </w:tcPr>
          <w:p>
            <w:pPr>
              <w:jc w:val="center"/>
              <w:ind w:left="440"/>
              <w:spacing w:after="0"/>
              <w:rPr>
                <w:sz w:val="20"/>
                <w:szCs w:val="20"/>
                <w:color w:val="auto"/>
              </w:rPr>
            </w:pPr>
            <w:r>
              <w:rPr>
                <w:rFonts w:ascii="Times New Roman" w:cs="Times New Roman" w:eastAsia="Times New Roman" w:hAnsi="Times New Roman"/>
                <w:sz w:val="12"/>
                <w:szCs w:val="12"/>
                <w:color w:val="auto"/>
                <w:w w:val="98"/>
              </w:rPr>
              <w:t>offices)</w:t>
            </w:r>
          </w:p>
        </w:tc>
        <w:tc>
          <w:tcPr>
            <w:tcW w:w="480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288"/>
        </w:trPr>
        <w:tc>
          <w:tcPr>
            <w:tcW w:w="3340" w:type="dxa"/>
            <w:vAlign w:val="bottom"/>
          </w:tcPr>
          <w:p>
            <w:pPr>
              <w:spacing w:after="0"/>
              <w:rPr>
                <w:sz w:val="24"/>
                <w:szCs w:val="24"/>
                <w:color w:val="auto"/>
              </w:rPr>
            </w:pPr>
          </w:p>
        </w:tc>
        <w:tc>
          <w:tcPr>
            <w:tcW w:w="480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(604) 631-3115</w:t>
            </w:r>
          </w:p>
        </w:tc>
        <w:tc>
          <w:tcPr>
            <w:tcW w:w="3160" w:type="dxa"/>
            <w:vAlign w:val="bottom"/>
          </w:tcPr>
          <w:p>
            <w:pPr>
              <w:spacing w:after="0"/>
              <w:rPr>
                <w:sz w:val="24"/>
                <w:szCs w:val="24"/>
                <w:color w:val="auto"/>
              </w:rPr>
            </w:pPr>
          </w:p>
        </w:tc>
      </w:tr>
      <w:tr>
        <w:trPr>
          <w:trHeight w:val="277"/>
        </w:trPr>
        <w:tc>
          <w:tcPr>
            <w:tcW w:w="3340" w:type="dxa"/>
            <w:vAlign w:val="bottom"/>
          </w:tcPr>
          <w:p>
            <w:pPr>
              <w:spacing w:after="0"/>
              <w:rPr>
                <w:sz w:val="24"/>
                <w:szCs w:val="24"/>
                <w:color w:val="auto"/>
              </w:rPr>
            </w:pPr>
          </w:p>
        </w:tc>
        <w:tc>
          <w:tcPr>
            <w:tcW w:w="48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Not applicable</w:t>
            </w:r>
          </w:p>
        </w:tc>
        <w:tc>
          <w:tcPr>
            <w:tcW w:w="3160" w:type="dxa"/>
            <w:vAlign w:val="bottom"/>
          </w:tcPr>
          <w:p>
            <w:pPr>
              <w:spacing w:after="0"/>
              <w:rPr>
                <w:sz w:val="24"/>
                <w:szCs w:val="24"/>
                <w:color w:val="auto"/>
              </w:rPr>
            </w:pPr>
          </w:p>
        </w:tc>
      </w:tr>
      <w:tr>
        <w:trPr>
          <w:trHeight w:val="155"/>
        </w:trPr>
        <w:tc>
          <w:tcPr>
            <w:tcW w:w="334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3160" w:type="dxa"/>
            <w:vAlign w:val="bottom"/>
            <w:tcBorders>
              <w:bottom w:val="single" w:sz="8" w:color="auto"/>
            </w:tcBorders>
          </w:tcPr>
          <w:p>
            <w:pPr>
              <w:spacing w:after="0"/>
              <w:rPr>
                <w:sz w:val="13"/>
                <w:szCs w:val="13"/>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8" w:type="dxa"/>
        <w:tblCellMar>
          <w:top w:w="0" w:type="dxa"/>
          <w:left w:w="0" w:type="dxa"/>
          <w:bottom w:w="0" w:type="dxa"/>
          <w:right w:w="0" w:type="dxa"/>
        </w:tblCellMar>
      </w:tblP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w:t>
            </w:r>
          </w:p>
        </w:tc>
      </w:tr>
      <w:tr>
        <w:trPr>
          <w:trHeight w:val="159"/>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which registered</w:t>
            </w:r>
          </w:p>
        </w:tc>
      </w:tr>
      <w:tr>
        <w:trPr>
          <w:trHeight w:val="122"/>
        </w:trPr>
        <w:tc>
          <w:tcPr>
            <w:tcW w:w="50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TMC Common Shares without par value</w:t>
            </w:r>
          </w:p>
        </w:tc>
        <w:tc>
          <w:tcPr>
            <w:tcW w:w="120" w:type="dxa"/>
            <w:vAlign w:val="bottom"/>
          </w:tcPr>
          <w:p>
            <w:pPr>
              <w:spacing w:after="0"/>
              <w:rPr>
                <w:sz w:val="10"/>
                <w:szCs w:val="10"/>
                <w:color w:val="auto"/>
              </w:rPr>
            </w:pPr>
          </w:p>
        </w:tc>
        <w:tc>
          <w:tcPr>
            <w:tcW w:w="26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TMC</w:t>
            </w:r>
          </w:p>
        </w:tc>
        <w:tc>
          <w:tcPr>
            <w:tcW w:w="120" w:type="dxa"/>
            <w:vAlign w:val="bottom"/>
          </w:tcPr>
          <w:p>
            <w:pPr>
              <w:spacing w:after="0"/>
              <w:rPr>
                <w:sz w:val="10"/>
                <w:szCs w:val="10"/>
                <w:color w:val="auto"/>
              </w:rPr>
            </w:pPr>
          </w:p>
        </w:tc>
        <w:tc>
          <w:tcPr>
            <w:tcW w:w="33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4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Redeemable warrants, each whole warrant exercisable for one TMC Common Share, each at an exercise</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TMCWW</w:t>
            </w: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price of $11.50 per share</w:t>
            </w: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r>
    </w:tbl>
    <w:p>
      <w:pPr>
        <w:spacing w:after="0" w:line="133" w:lineRule="exact"/>
        <w:rPr>
          <w:sz w:val="24"/>
          <w:szCs w:val="24"/>
          <w:color w:val="auto"/>
        </w:rPr>
      </w:pPr>
    </w:p>
    <w:p>
      <w:pPr>
        <w:ind w:left="8" w:right="160" w:firstLine="216"/>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82" w:lineRule="exact"/>
        <w:rPr>
          <w:sz w:val="24"/>
          <w:szCs w:val="24"/>
          <w:color w:val="auto"/>
        </w:rPr>
      </w:pPr>
    </w:p>
    <w:p>
      <w:pPr>
        <w:ind w:left="8" w:right="700" w:firstLine="216"/>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3" w:right="299" w:bottom="1440" w:gutter="0" w:footer="0" w:header="0"/>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On March 24, 2022, TMC the metals company Inc. (the “Company”) issued a press release announcing its results for the fourth quarter and full year ended December 31, 2021 and providing a business update. A copy of the press release is furnished as Exhibit 99.1 hereto. In addition, the Company held a conference call to discuss these results and the business update on March 24, 2022. The transcript of, and the accompanying investor presentation slides for, the Company's Chief Financial Officer's presentation of financial results during the conference call are furnished as Exhibit 99.2 and Exhibit 99.3 hereto, respectively.</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Exhibit 99.2 and Exhibit 99.3)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7" w:lineRule="exact"/>
        <w:rPr>
          <w:sz w:val="20"/>
          <w:szCs w:val="20"/>
          <w:color w:val="auto"/>
        </w:rPr>
      </w:pPr>
    </w:p>
    <w:p>
      <w:pPr>
        <w:jc w:val="both"/>
        <w:ind w:left="8"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Cautionary Note Regarding Forward-Looking Statements. </w:t>
      </w:r>
      <w:r>
        <w:rPr>
          <w:rFonts w:ascii="Times New Roman" w:cs="Times New Roman" w:eastAsia="Times New Roman" w:hAnsi="Times New Roman"/>
          <w:sz w:val="12"/>
          <w:szCs w:val="12"/>
          <w:color w:val="auto"/>
        </w:rPr>
        <w:t>Except for historical information contained in the press release, transcript and the investor presentation, each attached as an exhibit hereto, the press release, transcript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the investor presentation contain forward-looking statements which involve certain risks and uncertainties that could cause actual results to differ materially from those expressed or implied by these statements. Please refer to the cautionary note in the press release, transcript and the investor presentation regarding these forward-looking statements.</w:t>
      </w:r>
    </w:p>
    <w:p>
      <w:pPr>
        <w:spacing w:after="0" w:line="115"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36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20" w:type="dxa"/>
            <w:vAlign w:val="bottom"/>
          </w:tcPr>
          <w:p>
            <w:pPr>
              <w:spacing w:after="0"/>
              <w:rPr>
                <w:sz w:val="12"/>
                <w:szCs w:val="12"/>
                <w:color w:val="auto"/>
              </w:rPr>
            </w:pPr>
          </w:p>
        </w:tc>
      </w:tr>
      <w:tr>
        <w:trPr>
          <w:trHeight w:val="159"/>
        </w:trPr>
        <w:tc>
          <w:tcPr>
            <w:tcW w:w="1360" w:type="dxa"/>
            <w:vAlign w:val="bottom"/>
            <w:gridSpan w:val="4"/>
          </w:tcPr>
          <w:p>
            <w:pPr>
              <w:ind w:left="34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250"/>
        </w:trPr>
        <w:tc>
          <w:tcPr>
            <w:tcW w:w="660" w:type="dxa"/>
            <w:vAlign w:val="bottom"/>
            <w:tcBorders>
              <w:top w:val="single" w:sz="8" w:color="auto"/>
            </w:tcBorders>
            <w:gridSpan w:val="2"/>
          </w:tcPr>
          <w:p>
            <w:pPr>
              <w:jc w:val="center"/>
              <w:ind w:left="400"/>
              <w:spacing w:after="0"/>
              <w:rPr>
                <w:rFonts w:ascii="Times New Roman" w:cs="Times New Roman" w:eastAsia="Times New Roman" w:hAnsi="Times New Roman"/>
                <w:sz w:val="12"/>
                <w:szCs w:val="12"/>
                <w:color w:val="0000EE"/>
                <w:w w:val="94"/>
              </w:rPr>
            </w:pPr>
            <w:hyperlink w:anchor="page4">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hyperlink>
          </w:p>
        </w:tc>
        <w:tc>
          <w:tcPr>
            <w:tcW w:w="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940" w:type="dxa"/>
            <w:vAlign w:val="bottom"/>
            <w:tcBorders>
              <w:top w:val="single" w:sz="8" w:color="auto"/>
            </w:tcBorders>
            <w:gridSpan w:val="4"/>
          </w:tcPr>
          <w:p>
            <w:pPr>
              <w:spacing w:after="0"/>
              <w:rPr>
                <w:rFonts w:ascii="Times New Roman" w:cs="Times New Roman" w:eastAsia="Times New Roman" w:hAnsi="Times New Roman"/>
                <w:sz w:val="12"/>
                <w:szCs w:val="12"/>
                <w:color w:val="0000EE"/>
              </w:rPr>
            </w:pPr>
            <w:hyperlink w:anchor="page4">
              <w:r>
                <w:rPr>
                  <w:rFonts w:ascii="Times New Roman" w:cs="Times New Roman" w:eastAsia="Times New Roman" w:hAnsi="Times New Roman"/>
                  <w:sz w:val="12"/>
                  <w:szCs w:val="12"/>
                  <w:color w:val="0000EE"/>
                </w:rPr>
                <w:t>Press Release dated March 24, 2022</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rFonts w:ascii="Times New Roman" w:cs="Times New Roman" w:eastAsia="Times New Roman" w:hAnsi="Times New Roman"/>
                <w:sz w:val="12"/>
                <w:szCs w:val="12"/>
                <w:color w:val="0000EE"/>
                <w:w w:val="94"/>
              </w:rPr>
            </w:pPr>
            <w:hyperlink w:anchor="page12">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hyperlink>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4"/>
          </w:tcPr>
          <w:p>
            <w:pPr>
              <w:spacing w:after="0"/>
              <w:rPr>
                <w:rFonts w:ascii="Times New Roman" w:cs="Times New Roman" w:eastAsia="Times New Roman" w:hAnsi="Times New Roman"/>
                <w:sz w:val="12"/>
                <w:szCs w:val="12"/>
                <w:color w:val="0000EE"/>
              </w:rPr>
            </w:pPr>
            <w:hyperlink w:anchor="page12">
              <w:r>
                <w:rPr>
                  <w:rFonts w:ascii="Times New Roman" w:cs="Times New Roman" w:eastAsia="Times New Roman" w:hAnsi="Times New Roman"/>
                  <w:sz w:val="12"/>
                  <w:szCs w:val="12"/>
                  <w:color w:val="0000EE"/>
                </w:rPr>
                <w:t>Transcript of presentation of financial results by Chief Financial Officer during conference call held on March 24, 2022</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68"/>
        </w:trPr>
        <w:tc>
          <w:tcPr>
            <w:tcW w:w="660" w:type="dxa"/>
            <w:vAlign w:val="bottom"/>
            <w:gridSpan w:val="2"/>
          </w:tcPr>
          <w:p>
            <w:pPr>
              <w:jc w:val="center"/>
              <w:ind w:left="400"/>
              <w:spacing w:after="0"/>
              <w:rPr>
                <w:rFonts w:ascii="Times New Roman" w:cs="Times New Roman" w:eastAsia="Times New Roman" w:hAnsi="Times New Roman"/>
                <w:sz w:val="12"/>
                <w:szCs w:val="12"/>
                <w:color w:val="0000EE"/>
                <w:w w:val="94"/>
              </w:rPr>
            </w:pPr>
            <w:hyperlink w:anchor="page14">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hyperlink>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4"/>
          </w:tcPr>
          <w:p>
            <w:pPr>
              <w:spacing w:after="0"/>
              <w:rPr>
                <w:rFonts w:ascii="Times New Roman" w:cs="Times New Roman" w:eastAsia="Times New Roman" w:hAnsi="Times New Roman"/>
                <w:sz w:val="12"/>
                <w:szCs w:val="12"/>
                <w:color w:val="0000EE"/>
              </w:rPr>
            </w:pPr>
            <w:hyperlink w:anchor="page14">
              <w:r>
                <w:rPr>
                  <w:rFonts w:ascii="Times New Roman" w:cs="Times New Roman" w:eastAsia="Times New Roman" w:hAnsi="Times New Roman"/>
                  <w:sz w:val="12"/>
                  <w:szCs w:val="12"/>
                  <w:color w:val="0000EE"/>
                </w:rPr>
                <w:t>Investor Presentation for presentation of financial results by Chief Financial Officer on March 24, 2022</w:t>
              </w:r>
            </w:hyperlink>
          </w:p>
        </w:tc>
      </w:tr>
      <w:tr>
        <w:trPr>
          <w:trHeight w:val="20"/>
        </w:trPr>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95"/>
        </w:trPr>
        <w:tc>
          <w:tcPr>
            <w:tcW w:w="660" w:type="dxa"/>
            <w:vAlign w:val="bottom"/>
            <w:gridSpan w:val="2"/>
          </w:tcPr>
          <w:p>
            <w:pPr>
              <w:jc w:val="center"/>
              <w:ind w:left="380"/>
              <w:spacing w:after="0"/>
              <w:rPr>
                <w:sz w:val="20"/>
                <w:szCs w:val="20"/>
                <w:color w:val="auto"/>
              </w:rPr>
            </w:pPr>
            <w:r>
              <w:rPr>
                <w:rFonts w:ascii="Times New Roman" w:cs="Times New Roman" w:eastAsia="Times New Roman" w:hAnsi="Times New Roman"/>
                <w:sz w:val="12"/>
                <w:szCs w:val="12"/>
                <w:color w:val="auto"/>
                <w:w w:val="99"/>
              </w:rPr>
              <w:t>104</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iXBRL (Inline eXtensible Business Reporting Language) document)</w:t>
            </w:r>
          </w:p>
        </w:tc>
      </w:tr>
      <w:tr>
        <w:trPr>
          <w:trHeight w:val="450"/>
        </w:trPr>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March 29, 2022</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Gerard Barron</w:t>
            </w:r>
          </w:p>
        </w:tc>
      </w:tr>
      <w:tr>
        <w:trPr>
          <w:trHeight w:val="113"/>
        </w:trPr>
        <w:tc>
          <w:tcPr>
            <w:tcW w:w="3340" w:type="dxa"/>
            <w:vAlign w:val="bottom"/>
          </w:tcPr>
          <w:p>
            <w:pPr>
              <w:spacing w:after="0"/>
              <w:rPr>
                <w:sz w:val="9"/>
                <w:szCs w:val="9"/>
                <w:color w:val="auto"/>
              </w:rPr>
            </w:pPr>
          </w:p>
        </w:tc>
        <w:tc>
          <w:tcPr>
            <w:tcW w:w="2640" w:type="dxa"/>
            <w:vAlign w:val="bottom"/>
          </w:tcPr>
          <w:p>
            <w:pPr>
              <w:ind w:left="2320"/>
              <w:spacing w:after="0" w:line="113" w:lineRule="exact"/>
              <w:rPr>
                <w:sz w:val="20"/>
                <w:szCs w:val="20"/>
                <w:color w:val="auto"/>
              </w:rPr>
            </w:pPr>
            <w:r>
              <w:rPr>
                <w:rFonts w:ascii="Times New Roman" w:cs="Times New Roman" w:eastAsia="Times New Roman" w:hAnsi="Times New Roman"/>
                <w:sz w:val="12"/>
                <w:szCs w:val="12"/>
                <w:color w:val="auto"/>
                <w:w w:val="93"/>
              </w:rPr>
              <w:t>Name:</w:t>
            </w:r>
          </w:p>
        </w:tc>
        <w:tc>
          <w:tcPr>
            <w:tcW w:w="5320" w:type="dxa"/>
            <w:vAlign w:val="bottom"/>
            <w:tcBorders>
              <w:top w:val="single" w:sz="8" w:color="auto"/>
            </w:tcBorders>
          </w:tcPr>
          <w:p>
            <w:pPr>
              <w:ind w:left="20"/>
              <w:spacing w:after="0" w:line="113" w:lineRule="exact"/>
              <w:rPr>
                <w:sz w:val="20"/>
                <w:szCs w:val="20"/>
                <w:color w:val="auto"/>
              </w:rPr>
            </w:pPr>
            <w:r>
              <w:rPr>
                <w:rFonts w:ascii="Times New Roman" w:cs="Times New Roman" w:eastAsia="Times New Roman" w:hAnsi="Times New Roman"/>
                <w:sz w:val="12"/>
                <w:szCs w:val="12"/>
                <w:color w:val="auto"/>
              </w:rPr>
              <w:t>Gerard Barron</w:t>
            </w:r>
          </w:p>
        </w:tc>
      </w:tr>
      <w:tr>
        <w:trPr>
          <w:trHeight w:val="155"/>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Title: Chief Executive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2"/>
          <w:szCs w:val="12"/>
          <w:b w:val="1"/>
          <w:bCs w:val="1"/>
          <w:color w:val="auto"/>
        </w:rPr>
        <w:t>The Metals Company Provides Q4 2021 and FY 2021 Corporate</w:t>
      </w:r>
    </w:p>
    <w:p>
      <w:pPr>
        <w:spacing w:after="0" w:line="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Update and Details Key Strategic Announcements Bringing TMC</w:t>
      </w:r>
    </w:p>
    <w:p>
      <w:pPr>
        <w:spacing w:after="0" w:line="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Closer to Unlocking the World’s Largest Estimated Source of Battery</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2"/>
          <w:szCs w:val="12"/>
          <w:b w:val="1"/>
          <w:bCs w:val="1"/>
          <w:color w:val="auto"/>
        </w:rPr>
        <w:t>Metals</w:t>
      </w:r>
    </w:p>
    <w:p>
      <w:pPr>
        <w:spacing w:after="0" w:line="13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NEW YORK — March 24, 2022 — TMC the metals company Inc. (Nasdaq: TMC) (“TMC” or “the Company”), an explorer of lower-impact battery metals from seafloor polymetallic nodules, today provided financial results for the fourth quarter and full year ending December 31, 2021, and announced a corporate update.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Q4 2021 and FY 2021 Financial Highlights</w:t>
      </w:r>
    </w:p>
    <w:p>
      <w:pPr>
        <w:spacing w:after="0" w:line="154"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cash of approximately $84.9 million, at December 31, 2021</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cash balance expected to be sufficient to fund TMC’s operations into the third quarter of 2023 when the Company’s subsidiary Nauru Ocean Resources Inc. (NORI) intends to submit its application to the International Seabed Authority (ISA) for an exploitation contract for its NORI-D area</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of $19.8 million and loss per share of $0.09 for the quarter ended December 31, 2021, mainly due to $9.9 million of offshore campaign costs, non-cash share-based compensation of $5.1 million and higher general and administrative costs as a result of becoming a public company, partially offset by gains on fair value changes of warrants liability of $8.5 million.</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of $141.3 million and loss per share of $0.69 for the year ended December 31, 2021, mainly due to non-cash share-based compensation of $60.3 million, $39.0 million of offshore campaign costs, $14.3 million for the pilot mining test system and higher general and administrative costs as a result of becoming a public company, partially offset by gains on fair value changes of warrants liability of $9.4 million.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Gerard Barron, TMC Chairman and CEO, commented: “Following the events of the last month, the world is now acutely aware of the fragility of the nickel market that is dominated by Russian and Chinese-funded supply. Russia currently represents 20% of Class 1 nickel supply and China controls most of future nickel production growth through investments in Indonesian rainforest nickel.”</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“TMC offers an alternative: polymetallic nodules. Our NORI-D project alone is ranked as the world’s largest undeveloped nickel project and we expect nickel to represent roughly half of our expected future revenues at current metal prices. Our strategy has always been to develop this resource through partnerships, both because it allows us to move faster and because it allows us to get into production in a capital-light manner. In this context, we are pleased to provide a corporate update for the fourth quarter of 2021 as well as highlight the two strategic developments that we announced last week, both important steps on our path toward commercial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Operational Highlights</w:t>
      </w:r>
    </w:p>
    <w:p>
      <w:pPr>
        <w:spacing w:after="0" w:line="150" w:lineRule="exact"/>
        <w:rPr>
          <w:sz w:val="20"/>
          <w:szCs w:val="20"/>
          <w:color w:val="auto"/>
        </w:rPr>
      </w:pPr>
    </w:p>
    <w:p>
      <w:pPr>
        <w:jc w:val="both"/>
        <w:ind w:left="42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Project Zero Plant</w:t>
      </w:r>
      <w:r>
        <w:rPr>
          <w:rFonts w:ascii="Times New Roman" w:cs="Times New Roman" w:eastAsia="Times New Roman" w:hAnsi="Times New Roman"/>
          <w:sz w:val="12"/>
          <w:szCs w:val="12"/>
          <w:color w:val="auto"/>
        </w:rPr>
        <w:t>: On March 16, 2022, we announced a business collaboration with Epsilon Carbon to complete a pre-feas</w:t>
      </w:r>
      <w:r>
        <w:rPr>
          <w:rFonts w:ascii="Times New Roman" w:cs="Times New Roman" w:eastAsia="Times New Roman" w:hAnsi="Times New Roman"/>
          <w:sz w:val="12"/>
          <w:szCs w:val="12"/>
          <w:color w:val="auto"/>
          <w:strike w:val="1"/>
        </w:rPr>
        <w:t>i</w:t>
      </w:r>
      <w:r>
        <w:rPr>
          <w:rFonts w:ascii="Times New Roman" w:cs="Times New Roman" w:eastAsia="Times New Roman" w:hAnsi="Times New Roman"/>
          <w:sz w:val="12"/>
          <w:szCs w:val="12"/>
          <w:color w:val="auto"/>
        </w:rPr>
        <w:t>bility study for a commercial plant in India, powered by renewables and targeting capacity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process 1.3 million tonnes per annum (Mtpa) of wet nodules into more than 30,000 tonnes per annum (TPA) of an intermediate nickel-copper-cobalt matte product used in active cathode material for nickel-rich cathode chemistries for lithium-ion batteries and more than 750,000 TPA of manganese silicate by-product expected to be used in manganese alloy production for the steel industry.</w:t>
      </w:r>
    </w:p>
    <w:p>
      <w:pPr>
        <w:spacing w:after="0" w:line="113" w:lineRule="exact"/>
        <w:rPr>
          <w:rFonts w:ascii="Times New Roman" w:cs="Times New Roman" w:eastAsia="Times New Roman" w:hAnsi="Times New Roman"/>
          <w:sz w:val="12"/>
          <w:szCs w:val="12"/>
          <w:color w:val="auto"/>
        </w:rPr>
      </w:pPr>
    </w:p>
    <w:p>
      <w:pPr>
        <w:ind w:left="420" w:hanging="212"/>
        <w:spacing w:after="0" w:line="286"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Project Zero System</w:t>
      </w:r>
      <w:r>
        <w:rPr>
          <w:rFonts w:ascii="Times New Roman" w:cs="Times New Roman" w:eastAsia="Times New Roman" w:hAnsi="Times New Roman"/>
          <w:sz w:val="12"/>
          <w:szCs w:val="12"/>
          <w:color w:val="auto"/>
        </w:rPr>
        <w:t>: On March 17, 2022, TMC subsidiary NORI and Allseas entered into a non-binding term sheet for the development and operation of a commercial nodule collection system. The pilot nodule collection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system developed and currently being tested by Allseas is expected to be upgraded to a commercial system with a targeted production capacity of 1.3 Mpta of wet nodules and expected production readiness by Q4 2024.</w:t>
      </w:r>
    </w:p>
    <w:p>
      <w:pPr>
        <w:spacing w:after="0" w:line="103"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Pilot collection system</w:t>
      </w:r>
      <w:r>
        <w:rPr>
          <w:rFonts w:ascii="Times New Roman" w:cs="Times New Roman" w:eastAsia="Times New Roman" w:hAnsi="Times New Roman"/>
          <w:sz w:val="12"/>
          <w:szCs w:val="12"/>
          <w:color w:val="auto"/>
        </w:rPr>
        <w:t>: The development and testing of the pilot nodule collection system — that includes the production vessel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Hidden Gem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the surface, a collector vehicle on the seafloor and a riser that lifts nodules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collector to the surface — continues as planned. Work to convert </w:t>
      </w:r>
      <w:r>
        <w:rPr>
          <w:rFonts w:ascii="Times New Roman" w:cs="Times New Roman" w:eastAsia="Times New Roman" w:hAnsi="Times New Roman"/>
          <w:sz w:val="12"/>
          <w:szCs w:val="12"/>
          <w:i w:val="1"/>
          <w:iCs w:val="1"/>
          <w:color w:val="auto"/>
        </w:rPr>
        <w:t>Hidden Gem</w:t>
      </w:r>
      <w:r>
        <w:rPr>
          <w:rFonts w:ascii="Times New Roman" w:cs="Times New Roman" w:eastAsia="Times New Roman" w:hAnsi="Times New Roman"/>
          <w:sz w:val="12"/>
          <w:szCs w:val="12"/>
          <w:color w:val="auto"/>
        </w:rPr>
        <w:t xml:space="preserve"> into what is expected to become the world’s first ship classed as a subsea mining vessel was completed in February. In March, pilot collector vehicle underwent extensive equipment testing in the Port of Rotterdam and all systems were shown to be fully functional. Pilot trials in the NORI-D area in the Clarion Clipperton Zone (CCZ) expected in H2 2022.</w:t>
      </w:r>
    </w:p>
    <w:p>
      <w:pPr>
        <w:spacing w:after="0" w:line="113"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Pilot digital twin</w:t>
      </w:r>
      <w:r>
        <w:rPr>
          <w:rFonts w:ascii="Times New Roman" w:cs="Times New Roman" w:eastAsia="Times New Roman" w:hAnsi="Times New Roman"/>
          <w:sz w:val="12"/>
          <w:szCs w:val="12"/>
          <w:color w:val="auto"/>
        </w:rPr>
        <w:t>: In November 2021, TMC entered into an agreement with Kongsberg Digital, a leading provider of high-technology systems and solutions for the oil and gas, merchant marine, defence and aerospace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industries. In advance of initial nodule collector drive tests in the Atlantic Ocean and pilot collection system trials in the NORI-D area CCZ, the parties intend to create a digital twin to enable 3D visualization of deep-sea operations in a dynamic dashboard for review by various stakeholders.</w:t>
      </w:r>
    </w:p>
    <w:p>
      <w:pPr>
        <w:spacing w:after="0" w:line="113"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Environmental baseline studies in NORI-D</w:t>
      </w:r>
      <w:r>
        <w:rPr>
          <w:rFonts w:ascii="Times New Roman" w:cs="Times New Roman" w:eastAsia="Times New Roman" w:hAnsi="Times New Roman"/>
          <w:sz w:val="12"/>
          <w:szCs w:val="12"/>
          <w:color w:val="auto"/>
        </w:rPr>
        <w:t>: In December 2021, NORI successfully concluded Environmental Expedition 5E, a targeted sampling campaign of both benthic and pelagic fauna with wider investigations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characterize ecosystem function on the abyssal seafloor. The completion of the six-week expedition — NORI’s fifth environmental campaign in twelve months — marked the latest offshore campaign required to develop an environmental baseline of NORI’s proposed operating environment in the CCZ.</w:t>
      </w:r>
    </w:p>
    <w:p>
      <w:pPr>
        <w:spacing w:after="0" w:line="113"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Environmental Impact Statement (EIS) for pilot collector test in NORI-D</w:t>
      </w:r>
      <w:r>
        <w:rPr>
          <w:rFonts w:ascii="Times New Roman" w:cs="Times New Roman" w:eastAsia="Times New Roman" w:hAnsi="Times New Roman"/>
          <w:sz w:val="12"/>
          <w:szCs w:val="12"/>
          <w:color w:val="auto"/>
        </w:rPr>
        <w:t>: As the Sponsoring State to NORI, the Republic of Nauru conducted a stakeholder consultation from October 2021 through March 2022, including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through two community webinars to present the original EIS and evaluate public comments. This process provided the global stakeholder community with the opportunity to review, discuss, comment, and guide revisions to the NORI Collector Test EIS.</w:t>
      </w:r>
    </w:p>
    <w:p>
      <w:pPr>
        <w:spacing w:after="0" w:line="113" w:lineRule="exact"/>
        <w:rPr>
          <w:rFonts w:ascii="Times New Roman" w:cs="Times New Roman" w:eastAsia="Times New Roman" w:hAnsi="Times New Roman"/>
          <w:sz w:val="12"/>
          <w:szCs w:val="12"/>
          <w:color w:val="auto"/>
        </w:rPr>
      </w:pPr>
    </w:p>
    <w:p>
      <w:pPr>
        <w:ind w:left="420" w:hanging="212"/>
        <w:spacing w:after="0" w:line="286"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Governance</w:t>
      </w:r>
      <w:r>
        <w:rPr>
          <w:rFonts w:ascii="Times New Roman" w:cs="Times New Roman" w:eastAsia="Times New Roman" w:hAnsi="Times New Roman"/>
          <w:sz w:val="12"/>
          <w:szCs w:val="12"/>
          <w:color w:val="auto"/>
        </w:rPr>
        <w:t>: In February, TMC announced the appointment of Kathleen McAllister to its Board of Directors as an Independent Director, bringing 50-50 gender parity to TMC’s boardroom. Kathleen joined the Board as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director and it is expected that she will assume the role of TMC Audit Committee Chair on April 1, 2022.</w:t>
      </w:r>
    </w:p>
    <w:p>
      <w:pPr>
        <w:spacing w:after="0" w:line="103" w:lineRule="exact"/>
        <w:rPr>
          <w:rFonts w:ascii="Times New Roman" w:cs="Times New Roman" w:eastAsia="Times New Roman" w:hAnsi="Times New Roman"/>
          <w:sz w:val="12"/>
          <w:szCs w:val="12"/>
          <w:color w:val="auto"/>
        </w:rPr>
      </w:pPr>
    </w:p>
    <w:p>
      <w:pPr>
        <w:ind w:left="420" w:hanging="212"/>
        <w:spacing w:after="0" w:line="286"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Peer-reviewed research</w:t>
      </w:r>
      <w:r>
        <w:rPr>
          <w:rFonts w:ascii="Times New Roman" w:cs="Times New Roman" w:eastAsia="Times New Roman" w:hAnsi="Times New Roman"/>
          <w:sz w:val="12"/>
          <w:szCs w:val="12"/>
          <w:color w:val="auto"/>
        </w:rPr>
        <w:t>: In January 2022, peer-reviewed research commissioned by the Company and published in the Yale Journal of Industrial Ecology found that producing four key battery metals (nickel, copper, cobalt,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manganese) from seafloor polymetallic nodules could reduce lifecycle solid waste substantially compared to producing these metals from conventional land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Industry Update</w:t>
      </w:r>
    </w:p>
    <w:p>
      <w:pPr>
        <w:spacing w:after="0" w:line="154" w:lineRule="exact"/>
        <w:rPr>
          <w:sz w:val="20"/>
          <w:szCs w:val="20"/>
          <w:color w:val="auto"/>
        </w:rPr>
      </w:pPr>
    </w:p>
    <w:p>
      <w:pPr>
        <w:jc w:val="both"/>
        <w:ind w:left="420" w:hanging="212"/>
        <w:spacing w:after="0" w:line="228"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International Seabed Authority (ISA) continues to work to a two-year timeline to finalize regulations regarding exploitation of deep-sea minerals by July 9, 2023. An in-person ISA Council meeting in Kingston, Jamaica began on March 21 and will run through April 1, 2022, with the next ISA Council meeting scheduled for July 2022. In December 2021, the 26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Session of the Assembly of the ISA was formally closed, with members approving an updated plan of work for 2022.</w:t>
      </w:r>
    </w:p>
    <w:p>
      <w:pPr>
        <w:spacing w:after="0" w:line="133"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International Renewable Energy Agency released a new technical paper in November 2021 that warns of a number of headwinds facing the expansion of mineral supply on land, and notes how polymetallic nodules “could substantially change the supply outlook for several critical materials” including nickel and cobalt.</w:t>
      </w:r>
    </w:p>
    <w:p>
      <w:pPr>
        <w:spacing w:after="0" w:line="111" w:lineRule="exact"/>
        <w:rPr>
          <w:rFonts w:ascii="Times New Roman" w:cs="Times New Roman" w:eastAsia="Times New Roman" w:hAnsi="Times New Roman"/>
          <w:sz w:val="12"/>
          <w:szCs w:val="12"/>
          <w:color w:val="auto"/>
        </w:rPr>
      </w:pPr>
    </w:p>
    <w:p>
      <w:pPr>
        <w:jc w:val="both"/>
        <w:ind w:left="420" w:right="20" w:hanging="212"/>
        <w:spacing w:after="0" w:line="265"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letter to U.S. Energy Secretary Jennifer Granholm, Senator Lisa Murkowski called for a focus on securing access to battery raw materials and the exploration of the potential of polymetallic nodules in the CCZ; while seventeen retired generals, admirals and officers across four U.S. military branches warned of the U.S.’ extreme vulnerability to supply chain shocks, and called for the responsible development of the vast polymetallic nodule resource in the CCZ in a letter to the Department of Defense.</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June 2021, the Indian government allocated around US$530 million for the Deep Ocean Mission </w:t>
      </w:r>
      <w:r>
        <w:rPr>
          <w:rFonts w:ascii="Times New Roman" w:cs="Times New Roman" w:eastAsia="Times New Roman" w:hAnsi="Times New Roman"/>
          <w:sz w:val="12"/>
          <w:szCs w:val="12"/>
          <w:color w:val="333333"/>
        </w:rPr>
        <w:t>to explore the deep ocean for resources and develop deep sea technologies for sustainable use of ocean resources, including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333333"/>
        </w:rPr>
        <w:t xml:space="preserve">polymetallic nodules. </w:t>
      </w:r>
      <w:r>
        <w:rPr>
          <w:rFonts w:ascii="Times New Roman" w:cs="Times New Roman" w:eastAsia="Times New Roman" w:hAnsi="Times New Roman"/>
          <w:sz w:val="12"/>
          <w:szCs w:val="12"/>
          <w:color w:val="000000"/>
        </w:rPr>
        <w:t>The country’s first manned ocean mission to carry out deep ocean exploration of non-living resources took place in October 2021. In addition, in December 2021, India’s Ministry for Science &amp;</w:t>
      </w:r>
      <w:r>
        <w:rPr>
          <w:rFonts w:ascii="Times New Roman" w:cs="Times New Roman" w:eastAsia="Times New Roman" w:hAnsi="Times New Roman"/>
          <w:sz w:val="12"/>
          <w:szCs w:val="12"/>
          <w:color w:val="333333"/>
        </w:rPr>
        <w:t xml:space="preserve"> </w:t>
      </w:r>
      <w:r>
        <w:rPr>
          <w:rFonts w:ascii="Times New Roman" w:cs="Times New Roman" w:eastAsia="Times New Roman" w:hAnsi="Times New Roman"/>
          <w:sz w:val="12"/>
          <w:szCs w:val="12"/>
          <w:color w:val="000000"/>
        </w:rPr>
        <w:t>Technology announced that it will establish a national taskforce for the development of suitable technologies to exploit deep-sea minerals and gas hydrate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Results Overview</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TMC reported a net loss for the fourth quarter of 2021 of $19.8 million, or $0.09 per share, compared to TMC’s net loss of $17.1 million, or $0.09 per share, for the fourth quarter of 2020. Exploration expenses during the fourth quarter of 2021 were $12.8 million compared to $13.1 million for the fourth quarter of 2020. General and administrative expenses were $15.4 million for the fourth quarter of 2021 compared to $3.9 million for the fourth quarter of 2020.</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TMC reported a net loss for the year ended December 31, 2021 of $141.3 million, or $0.69 per share, compared to net loss of $56.6 million, or $0.32 per share, for the year ended December 31, 2020. Exploration evaluation expenses during the year ended December 31, 2021 were $93.0 million compared to $48.9 million for the year ended December 31, 2020. General and administrative expenses were $56.6 million for the year ended December 31, 2021 compared to $7.7 million for the year ended December 31, 2020. For the year ended December 31, 2021, TMC recorded total share-based compensation expense of $60.3 million of which $27.0 million was recorded in exploration and evaluation expenses and $33.4 million was recorded in general and administrative expenses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Liquidity, Capital Allocation and Key Milestones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2021, TMC held cash of $84.9 million and held no debt. This cash position is expected to fund our operations through the end of the third quarter of 2023 as TMC works to achive four key milestones:</w:t>
      </w:r>
    </w:p>
    <w:p>
      <w:pPr>
        <w:spacing w:after="0" w:line="150" w:lineRule="exact"/>
        <w:rPr>
          <w:sz w:val="20"/>
          <w:szCs w:val="20"/>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Analyze and release findings from our pilot pyrometallurgical program which successfully processed polymetallic nodules into a nickel-copper-cobalt matte product and manganese silicate — and use this information to support the Project Zero Plant pre-feasibility study being conducted by Epsilon Carbon;</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trials and environmental monitoring of the pilot nodule collection system in NORI-D to lift nodules to the surface and transport them to shore, with our strategic partner Allseas;</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 the Environmental Impact Assessment of future nodule collection operations in NORI-D, and develop the Environmental Impact Statement, a key part of the application for the ISA exploitation contract for NORI-D;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an application to the ISA for an exploitation contract for the NORI-D area.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TMC will hold a conference call today at 4:30 p.m. ET to provide an update on recent corporate developments, fourth quarter financial results and upcoming milestones.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Fourth Quarter 2021 Conference Call Details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Date:</w:t>
            </w: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Thursday, March 24, 2022</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Time: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04:30 p.m. Eastern Daylight Time</w:t>
            </w:r>
          </w:p>
        </w:tc>
        <w:tc>
          <w:tcPr>
            <w:tcW w:w="0" w:type="dxa"/>
            <w:vAlign w:val="bottom"/>
          </w:tcPr>
          <w:p>
            <w:pPr>
              <w:spacing w:after="0"/>
              <w:rPr>
                <w:sz w:val="1"/>
                <w:szCs w:val="1"/>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Virtual webcast</w:t>
            </w: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Register Here</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Toll-free dial-in number:</w:t>
            </w:r>
          </w:p>
        </w:tc>
        <w:tc>
          <w:tcPr>
            <w:tcW w:w="6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820" w:type="dxa"/>
            <w:vAlign w:val="bottom"/>
            <w:vMerge w:val="continue"/>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(844) 200-6205</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International dial-in number:</w:t>
            </w: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(929) 526-1599</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Conference ID:</w:t>
            </w: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060819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Please call the conference telephone number 5-10 minutes prior to the start time. An operator will register your name and organization. If you have any difficulty connecting with the conference call, please contact Gateway Investor Relations at (949) 574-3860.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conference call will have a virtual webcast and be available for replay in the ‘Investors’ tab of the Company’s website under ‘Media’ &gt; ‘</w:t>
      </w:r>
      <w:r>
        <w:rPr>
          <w:rFonts w:ascii="Times New Roman" w:cs="Times New Roman" w:eastAsia="Times New Roman" w:hAnsi="Times New Roman"/>
          <w:sz w:val="12"/>
          <w:szCs w:val="12"/>
          <w:u w:val="single" w:color="auto"/>
          <w:color w:val="auto"/>
        </w:rPr>
        <w:t>Events and Presentations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replay of the conference call will also be available after 6:30 p.m. Eastern time on the same day through March 31, 2022, via the information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Toll-free replay number: (866) 813-9403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replay number: (929) 458-6194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Replay ID: 138208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About The Metals Company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Authorityand sponsored by the governments of Nauru, Kiribati and the Kingdom of Tonga.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More information is available at </w:t>
      </w:r>
      <w:r>
        <w:rPr>
          <w:rFonts w:ascii="Times New Roman" w:cs="Times New Roman" w:eastAsia="Times New Roman" w:hAnsi="Times New Roman"/>
          <w:sz w:val="12"/>
          <w:szCs w:val="12"/>
          <w:u w:val="single" w:color="auto"/>
          <w:color w:val="auto"/>
        </w:rPr>
        <w:t>www.metals.co</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Clarion Clipperton Zone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TMC’s ability to successfully enter into binding agreements with each of Epsilon Carbon and Allseas; risks associated with natural hazards; uncertainty with respect to the specialized treatment and processing of polymetallic nodules that TMC may recover; risks associated with collective, development and processing operations, including with respect to the proposed plant in India and Allseas’ expected development efforts; fluctuations in transportation costs; testing and manufacturing of equipment; risks associated with TMC’s limited operating history; the impact of the COVID-19 pandemic; risks associated with TMC’s intellectual property; and other risks and uncertainties, including those in the “Risk Factors” section in TMC’s Quarterly Report on Form 10-Q for the quarter ended September 30, 2021 filed by TMC with the SEC on November 15, 2021, and in TMC’s other future filings with the Securities and Exchange Commission.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ind w:left="4900"/>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5700" w:type="dxa"/>
            <w:vAlign w:val="bottom"/>
            <w:gridSpan w:val="3"/>
          </w:tcPr>
          <w:p>
            <w:pPr>
              <w:jc w:val="right"/>
              <w:ind w:right="1606"/>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amounts)</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8"/>
        </w:trPr>
        <w:tc>
          <w:tcPr>
            <w:tcW w:w="294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As at</w:t>
            </w:r>
          </w:p>
        </w:tc>
        <w:tc>
          <w:tcPr>
            <w:tcW w:w="16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As at</w:t>
            </w:r>
          </w:p>
        </w:tc>
      </w:tr>
      <w:tr>
        <w:trPr>
          <w:trHeight w:val="144"/>
        </w:trPr>
        <w:tc>
          <w:tcPr>
            <w:tcW w:w="29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54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120" w:type="dxa"/>
            <w:vAlign w:val="bottom"/>
            <w:tcBorders>
              <w:bottom w:val="single" w:sz="8" w:color="CCEEFF"/>
            </w:tcBorders>
          </w:tcPr>
          <w:p>
            <w:pPr>
              <w:spacing w:after="0"/>
              <w:rPr>
                <w:sz w:val="13"/>
                <w:szCs w:val="13"/>
                <w:color w:val="auto"/>
              </w:rPr>
            </w:pPr>
          </w:p>
        </w:tc>
      </w:tr>
      <w:tr>
        <w:trPr>
          <w:trHeight w:val="133"/>
        </w:trPr>
        <w:tc>
          <w:tcPr>
            <w:tcW w:w="2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Current</w:t>
            </w:r>
          </w:p>
        </w:tc>
        <w:tc>
          <w:tcPr>
            <w:tcW w:w="5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w:t>
            </w:r>
          </w:p>
        </w:tc>
        <w:tc>
          <w:tcPr>
            <w:tcW w:w="570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84,873</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10,096</w:t>
            </w:r>
          </w:p>
        </w:tc>
      </w:tr>
      <w:tr>
        <w:trPr>
          <w:trHeight w:val="15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Receivables and prepayments</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3,686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129</w:t>
            </w:r>
          </w:p>
        </w:tc>
      </w:tr>
      <w:tr>
        <w:trPr>
          <w:trHeight w:val="133"/>
        </w:trPr>
        <w:tc>
          <w:tcPr>
            <w:tcW w:w="294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88,559</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ind w:left="740"/>
              <w:spacing w:after="0" w:line="133" w:lineRule="exact"/>
              <w:rPr>
                <w:sz w:val="20"/>
                <w:szCs w:val="20"/>
                <w:color w:val="auto"/>
              </w:rPr>
            </w:pPr>
            <w:r>
              <w:rPr>
                <w:rFonts w:ascii="Times New Roman" w:cs="Times New Roman" w:eastAsia="Times New Roman" w:hAnsi="Times New Roman"/>
                <w:sz w:val="12"/>
                <w:szCs w:val="12"/>
                <w:color w:val="auto"/>
                <w:w w:val="90"/>
              </w:rPr>
              <w:t>10,225</w:t>
            </w:r>
          </w:p>
        </w:tc>
        <w:tc>
          <w:tcPr>
            <w:tcW w:w="120" w:type="dxa"/>
            <w:vAlign w:val="bottom"/>
          </w:tcPr>
          <w:p>
            <w:pPr>
              <w:spacing w:after="0"/>
              <w:rPr>
                <w:sz w:val="11"/>
                <w:szCs w:val="11"/>
                <w:color w:val="auto"/>
              </w:rPr>
            </w:pPr>
          </w:p>
        </w:tc>
      </w:tr>
      <w:tr>
        <w:trPr>
          <w:trHeight w:val="14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w:t>
            </w:r>
          </w:p>
        </w:tc>
        <w:tc>
          <w:tcPr>
            <w:tcW w:w="5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Exploration contracts</w:t>
            </w: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43,150</w:t>
            </w:r>
          </w:p>
        </w:tc>
        <w:tc>
          <w:tcPr>
            <w:tcW w:w="160" w:type="dxa"/>
            <w:vAlign w:val="bottom"/>
          </w:tcPr>
          <w:p>
            <w:pPr>
              <w:spacing w:after="0"/>
              <w:rPr>
                <w:sz w:val="12"/>
                <w:szCs w:val="12"/>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43,150</w:t>
            </w:r>
          </w:p>
        </w:tc>
      </w:tr>
      <w:tr>
        <w:trPr>
          <w:trHeight w:val="15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Equipment</w:t>
            </w:r>
          </w:p>
        </w:tc>
        <w:tc>
          <w:tcPr>
            <w:tcW w:w="5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1,416</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1,310</w:t>
            </w:r>
          </w:p>
        </w:tc>
      </w:tr>
      <w:tr>
        <w:trPr>
          <w:trHeight w:val="133"/>
        </w:trPr>
        <w:tc>
          <w:tcPr>
            <w:tcW w:w="2940" w:type="dxa"/>
            <w:vAlign w:val="bottom"/>
            <w:tcBorders>
              <w:bottom w:val="single" w:sz="8" w:color="CCEEFF"/>
            </w:tcBorders>
          </w:tcPr>
          <w:p>
            <w:pPr>
              <w:spacing w:after="0"/>
              <w:rPr>
                <w:sz w:val="11"/>
                <w:szCs w:val="11"/>
                <w:color w:val="auto"/>
              </w:rPr>
            </w:pPr>
          </w:p>
        </w:tc>
        <w:tc>
          <w:tcPr>
            <w:tcW w:w="54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44,566</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ind w:left="740"/>
              <w:spacing w:after="0" w:line="133" w:lineRule="exact"/>
              <w:rPr>
                <w:sz w:val="20"/>
                <w:szCs w:val="20"/>
                <w:color w:val="auto"/>
              </w:rPr>
            </w:pPr>
            <w:r>
              <w:rPr>
                <w:rFonts w:ascii="Times New Roman" w:cs="Times New Roman" w:eastAsia="Times New Roman" w:hAnsi="Times New Roman"/>
                <w:sz w:val="12"/>
                <w:szCs w:val="12"/>
                <w:color w:val="auto"/>
                <w:w w:val="90"/>
              </w:rPr>
              <w:t>44,460</w:t>
            </w:r>
          </w:p>
        </w:tc>
        <w:tc>
          <w:tcPr>
            <w:tcW w:w="120" w:type="dxa"/>
            <w:vAlign w:val="bottom"/>
            <w:tcBorders>
              <w:bottom w:val="single" w:sz="8" w:color="CCEEFF"/>
            </w:tcBorders>
          </w:tcPr>
          <w:p>
            <w:pPr>
              <w:spacing w:after="0"/>
              <w:rPr>
                <w:sz w:val="11"/>
                <w:szCs w:val="11"/>
                <w:color w:val="auto"/>
              </w:rPr>
            </w:pPr>
          </w:p>
        </w:tc>
      </w:tr>
      <w:tr>
        <w:trPr>
          <w:trHeight w:val="133"/>
        </w:trPr>
        <w:tc>
          <w:tcPr>
            <w:tcW w:w="2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5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133,125</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ind w:left="740"/>
              <w:spacing w:after="0" w:line="133" w:lineRule="exact"/>
              <w:rPr>
                <w:sz w:val="20"/>
                <w:szCs w:val="20"/>
                <w:color w:val="auto"/>
              </w:rPr>
            </w:pPr>
            <w:r>
              <w:rPr>
                <w:rFonts w:ascii="Times New Roman" w:cs="Times New Roman" w:eastAsia="Times New Roman" w:hAnsi="Times New Roman"/>
                <w:sz w:val="12"/>
                <w:szCs w:val="12"/>
                <w:b w:val="1"/>
                <w:bCs w:val="1"/>
                <w:color w:val="auto"/>
                <w:w w:val="90"/>
              </w:rPr>
              <w:t>54,685</w:t>
            </w:r>
          </w:p>
        </w:tc>
        <w:tc>
          <w:tcPr>
            <w:tcW w:w="120" w:type="dxa"/>
            <w:vAlign w:val="bottom"/>
            <w:shd w:val="clear" w:color="auto" w:fill="CCEEFF"/>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300"/>
          </w:cols>
          <w:pgMar w:left="300" w:top="791"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LIABILITIES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Current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Accounts payable and accrued liabilities</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Deferred acquisition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Non-current</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Deferred tax liability</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Warrants liability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LIABILITIES</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26,573</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4,316</w:t>
            </w:r>
          </w:p>
        </w:tc>
        <w:tc>
          <w:tcPr>
            <w:tcW w:w="20" w:type="dxa"/>
            <w:vAlign w:val="bottom"/>
          </w:tcPr>
          <w:p>
            <w:pPr>
              <w:spacing w:after="0"/>
              <w:rPr>
                <w:sz w:val="13"/>
                <w:szCs w:val="13"/>
                <w:color w:val="auto"/>
              </w:rPr>
            </w:pPr>
          </w:p>
        </w:tc>
      </w:tr>
      <w:tr>
        <w:trPr>
          <w:trHeight w:val="155"/>
        </w:trPr>
        <w:tc>
          <w:tcPr>
            <w:tcW w:w="4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w:t>
            </w:r>
          </w:p>
        </w:tc>
        <w:tc>
          <w:tcPr>
            <w:tcW w:w="20" w:type="dxa"/>
            <w:vAlign w:val="bottom"/>
          </w:tcPr>
          <w:p>
            <w:pPr>
              <w:spacing w:after="0"/>
              <w:rPr>
                <w:sz w:val="13"/>
                <w:szCs w:val="13"/>
                <w:color w:val="auto"/>
              </w:rPr>
            </w:pPr>
          </w:p>
        </w:tc>
      </w:tr>
      <w:tr>
        <w:trPr>
          <w:trHeight w:val="144"/>
        </w:trPr>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26,573</w:t>
            </w: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7,756</w:t>
            </w:r>
          </w:p>
        </w:tc>
        <w:tc>
          <w:tcPr>
            <w:tcW w:w="20" w:type="dxa"/>
            <w:vAlign w:val="bottom"/>
          </w:tcPr>
          <w:p>
            <w:pPr>
              <w:spacing w:after="0"/>
              <w:rPr>
                <w:sz w:val="12"/>
                <w:szCs w:val="12"/>
                <w:color w:val="auto"/>
              </w:rPr>
            </w:pPr>
          </w:p>
        </w:tc>
      </w:tr>
      <w:tr>
        <w:trPr>
          <w:trHeight w:val="275"/>
        </w:trPr>
        <w:tc>
          <w:tcPr>
            <w:tcW w:w="48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10,675</w:t>
            </w:r>
          </w:p>
        </w:tc>
        <w:tc>
          <w:tcPr>
            <w:tcW w:w="4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10,675</w:t>
            </w:r>
          </w:p>
        </w:tc>
      </w:tr>
      <w:tr>
        <w:trPr>
          <w:trHeight w:val="155"/>
        </w:trPr>
        <w:tc>
          <w:tcPr>
            <w:tcW w:w="4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3,126</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33"/>
        </w:trPr>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40,374</w:t>
            </w:r>
          </w:p>
        </w:tc>
        <w:tc>
          <w:tcPr>
            <w:tcW w:w="2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18,431</w:t>
            </w: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-850900</wp:posOffset>
            </wp:positionV>
            <wp:extent cx="7178040" cy="91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-668020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-479425</wp:posOffset>
            </wp:positionV>
            <wp:extent cx="7178040"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-290830</wp:posOffset>
            </wp:positionV>
            <wp:extent cx="717804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-102235</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7760" w:space="720"/>
            <w:col w:w="2820"/>
          </w:cols>
          <w:pgMar w:left="300" w:top="791"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xml:space="preserve">Common shares </w:t>
            </w:r>
            <w:r>
              <w:rPr>
                <w:rFonts w:ascii="Times New Roman" w:cs="Times New Roman" w:eastAsia="Times New Roman" w:hAnsi="Times New Roman"/>
                <w:sz w:val="12"/>
                <w:szCs w:val="12"/>
                <w:i w:val="1"/>
                <w:iCs w:val="1"/>
                <w:color w:val="auto"/>
              </w:rPr>
              <w:t>(unlimited shares, no par value – issued: 225,432,493 (December 31, 2020 – 189,493,593))</w:t>
            </w:r>
          </w:p>
        </w:tc>
        <w:tc>
          <w:tcPr>
            <w:tcW w:w="4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296,051</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154,431</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 xml:space="preserve">Preferred shares </w:t>
            </w:r>
            <w:r>
              <w:rPr>
                <w:rFonts w:ascii="Times New Roman" w:cs="Times New Roman" w:eastAsia="Times New Roman" w:hAnsi="Times New Roman"/>
                <w:sz w:val="12"/>
                <w:szCs w:val="12"/>
                <w:i w:val="1"/>
                <w:iCs w:val="1"/>
                <w:color w:val="auto"/>
              </w:rPr>
              <w:t>(unlimited shares, no par value – issued: nil (December 31, 2020 – 509,459))</w:t>
            </w:r>
          </w:p>
        </w:tc>
        <w:tc>
          <w:tcPr>
            <w:tcW w:w="4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550</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Class A - J Special Shares</w:t>
            </w:r>
          </w:p>
        </w:tc>
        <w:tc>
          <w:tcPr>
            <w:tcW w:w="4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4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102,073</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45,347</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4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(1,216)</w:t>
            </w:r>
          </w:p>
        </w:tc>
        <w:tc>
          <w:tcPr>
            <w:tcW w:w="42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(1,216)</w:t>
            </w:r>
          </w:p>
        </w:tc>
      </w:tr>
      <w:tr>
        <w:trPr>
          <w:trHeight w:val="153"/>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Deficit</w:t>
            </w:r>
          </w:p>
        </w:tc>
        <w:tc>
          <w:tcPr>
            <w:tcW w:w="4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(304,157)</w:t>
            </w:r>
          </w:p>
        </w:tc>
        <w:tc>
          <w:tcPr>
            <w:tcW w:w="4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(162,858)</w:t>
            </w: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4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92,751</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36,254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8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133,125</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54,685</w:t>
            </w:r>
          </w:p>
        </w:tc>
        <w:tc>
          <w:tcPr>
            <w:tcW w:w="100" w:type="dxa"/>
            <w:vAlign w:val="bottom"/>
          </w:tcPr>
          <w:p>
            <w:pPr>
              <w:spacing w:after="0"/>
              <w:rPr>
                <w:sz w:val="13"/>
                <w:szCs w:val="13"/>
                <w:color w:val="auto"/>
              </w:rPr>
            </w:pPr>
          </w:p>
        </w:tc>
      </w:tr>
      <w:tr>
        <w:trPr>
          <w:trHeight w:val="421"/>
        </w:trPr>
        <w:tc>
          <w:tcPr>
            <w:tcW w:w="848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91" w:right="299" w:bottom="1440" w:gutter="0" w:footer="0" w:header="0"/>
          <w:type w:val="continuous"/>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Loss and Comprehensive 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of US Dollars,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240" w:type="dxa"/>
            <w:vAlign w:val="bottom"/>
          </w:tcPr>
          <w:p>
            <w:pPr>
              <w:spacing w:after="0"/>
              <w:rPr>
                <w:sz w:val="12"/>
                <w:szCs w:val="12"/>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For the year ended</w:t>
            </w:r>
          </w:p>
        </w:tc>
      </w:tr>
      <w:tr>
        <w:trPr>
          <w:trHeight w:val="153"/>
        </w:trPr>
        <w:tc>
          <w:tcPr>
            <w:tcW w:w="7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240" w:type="dxa"/>
            <w:vAlign w:val="bottom"/>
          </w:tcPr>
          <w:p>
            <w:pPr>
              <w:spacing w:after="0"/>
              <w:rPr>
                <w:sz w:val="13"/>
                <w:szCs w:val="13"/>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7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3"/>
        </w:trPr>
        <w:tc>
          <w:tcPr>
            <w:tcW w:w="7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Exploration and evaluation expenses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93,006</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48,881</w:t>
            </w:r>
          </w:p>
        </w:tc>
      </w:tr>
      <w:tr>
        <w:trPr>
          <w:trHeight w:val="153"/>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56,583</w:t>
            </w:r>
          </w:p>
        </w:tc>
        <w:tc>
          <w:tcPr>
            <w:tcW w:w="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7,723</w:t>
            </w:r>
          </w:p>
        </w:tc>
        <w:tc>
          <w:tcPr>
            <w:tcW w:w="100" w:type="dxa"/>
            <w:vAlign w:val="bottom"/>
            <w:shd w:val="clear" w:color="auto" w:fill="CCEEFF"/>
          </w:tcPr>
          <w:p>
            <w:pPr>
              <w:spacing w:after="0"/>
              <w:rPr>
                <w:sz w:val="13"/>
                <w:szCs w:val="13"/>
                <w:color w:val="auto"/>
              </w:rPr>
            </w:pPr>
          </w:p>
        </w:tc>
      </w:tr>
      <w:tr>
        <w:trPr>
          <w:trHeight w:val="133"/>
        </w:trPr>
        <w:tc>
          <w:tcPr>
            <w:tcW w:w="73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149,589</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56,604</w:t>
            </w:r>
          </w:p>
        </w:tc>
        <w:tc>
          <w:tcPr>
            <w:tcW w:w="120" w:type="dxa"/>
            <w:vAlign w:val="bottom"/>
            <w:gridSpan w:val="2"/>
          </w:tcPr>
          <w:p>
            <w:pPr>
              <w:spacing w:after="0"/>
              <w:rPr>
                <w:sz w:val="11"/>
                <w:szCs w:val="11"/>
                <w:color w:val="auto"/>
              </w:rPr>
            </w:pPr>
          </w:p>
        </w:tc>
      </w:tr>
      <w:tr>
        <w:trPr>
          <w:trHeight w:val="144"/>
        </w:trPr>
        <w:tc>
          <w:tcPr>
            <w:tcW w:w="7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items</w:t>
            </w: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warrants liability</w:t>
            </w: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(9,375)</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exchange loss</w:t>
            </w: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82</w:t>
            </w:r>
          </w:p>
        </w:tc>
        <w:tc>
          <w:tcPr>
            <w:tcW w:w="24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2"/>
                <w:szCs w:val="12"/>
                <w:color w:val="auto"/>
              </w:rPr>
            </w:pPr>
          </w:p>
        </w:tc>
      </w:tr>
      <w:tr>
        <w:trPr>
          <w:trHeight w:val="153"/>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 (income)</w:t>
            </w: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1,003</w:t>
            </w:r>
          </w:p>
        </w:tc>
        <w:tc>
          <w:tcPr>
            <w:tcW w:w="24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w:t>
            </w:r>
          </w:p>
        </w:tc>
      </w:tr>
      <w:tr>
        <w:trPr>
          <w:trHeight w:val="133"/>
        </w:trPr>
        <w:tc>
          <w:tcPr>
            <w:tcW w:w="7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and comprehensive loss for the year</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141,299</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56,631</w:t>
            </w:r>
          </w:p>
        </w:tc>
      </w:tr>
      <w:tr>
        <w:trPr>
          <w:trHeight w:val="133"/>
        </w:trPr>
        <w:tc>
          <w:tcPr>
            <w:tcW w:w="7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per share</w:t>
            </w: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73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 Basic and diluted</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0.69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0.32</w:t>
            </w:r>
          </w:p>
        </w:tc>
      </w:tr>
      <w:tr>
        <w:trPr>
          <w:trHeight w:val="133"/>
        </w:trPr>
        <w:tc>
          <w:tcPr>
            <w:tcW w:w="73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common shares outstanding – basic and diluted</w:t>
            </w:r>
          </w:p>
        </w:tc>
        <w:tc>
          <w:tcPr>
            <w:tcW w:w="240" w:type="dxa"/>
            <w:vAlign w:val="bottom"/>
          </w:tcPr>
          <w:p>
            <w:pPr>
              <w:spacing w:after="0"/>
              <w:rPr>
                <w:sz w:val="13"/>
                <w:szCs w:val="13"/>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204,926,931</w:t>
            </w:r>
          </w:p>
        </w:tc>
        <w:tc>
          <w:tcPr>
            <w:tcW w:w="24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178,570,876</w:t>
            </w:r>
          </w:p>
        </w:tc>
        <w:tc>
          <w:tcPr>
            <w:tcW w:w="100" w:type="dxa"/>
            <w:vAlign w:val="bottom"/>
          </w:tcPr>
          <w:p>
            <w:pPr>
              <w:spacing w:after="0"/>
              <w:rPr>
                <w:sz w:val="13"/>
                <w:szCs w:val="13"/>
                <w:color w:val="auto"/>
              </w:rPr>
            </w:pPr>
          </w:p>
        </w:tc>
      </w:tr>
      <w:tr>
        <w:trPr>
          <w:trHeight w:val="421"/>
        </w:trPr>
        <w:tc>
          <w:tcPr>
            <w:tcW w:w="73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ind w:left="4900"/>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80" w:type="dxa"/>
            <w:vAlign w:val="bottom"/>
          </w:tcPr>
          <w:p>
            <w:pPr>
              <w:spacing w:after="0"/>
              <w:rPr>
                <w:sz w:val="13"/>
                <w:szCs w:val="13"/>
                <w:color w:val="auto"/>
              </w:rPr>
            </w:pPr>
          </w:p>
        </w:tc>
        <w:tc>
          <w:tcPr>
            <w:tcW w:w="3400" w:type="dxa"/>
            <w:vAlign w:val="bottom"/>
            <w:gridSpan w:val="2"/>
          </w:tcPr>
          <w:p>
            <w:pPr>
              <w:jc w:val="right"/>
              <w:ind w:right="1126"/>
              <w:spacing w:after="0"/>
              <w:rPr>
                <w:sz w:val="20"/>
                <w:szCs w:val="20"/>
                <w:color w:val="auto"/>
              </w:rPr>
            </w:pPr>
            <w:r>
              <w:rPr>
                <w:rFonts w:ascii="Times New Roman" w:cs="Times New Roman" w:eastAsia="Times New Roman" w:hAnsi="Times New Roman"/>
                <w:sz w:val="12"/>
                <w:szCs w:val="12"/>
                <w:b w:val="1"/>
                <w:bCs w:val="1"/>
                <w:color w:val="auto"/>
              </w:rPr>
              <w:t>(in thousands of US Dollars)</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8"/>
        </w:trPr>
        <w:tc>
          <w:tcPr>
            <w:tcW w:w="41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240" w:type="dxa"/>
            <w:vAlign w:val="bottom"/>
          </w:tcPr>
          <w:p>
            <w:pPr>
              <w:spacing w:after="0"/>
              <w:rPr>
                <w:sz w:val="22"/>
                <w:szCs w:val="22"/>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For the year ended</w:t>
            </w:r>
          </w:p>
        </w:tc>
      </w:tr>
      <w:tr>
        <w:trPr>
          <w:trHeight w:val="153"/>
        </w:trPr>
        <w:tc>
          <w:tcPr>
            <w:tcW w:w="4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240" w:type="dxa"/>
            <w:vAlign w:val="bottom"/>
          </w:tcPr>
          <w:p>
            <w:pPr>
              <w:spacing w:after="0"/>
              <w:rPr>
                <w:sz w:val="13"/>
                <w:szCs w:val="13"/>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418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3"/>
        </w:trPr>
        <w:tc>
          <w:tcPr>
            <w:tcW w:w="4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resources provided by (used in)</w:t>
            </w:r>
          </w:p>
        </w:tc>
        <w:tc>
          <w:tcPr>
            <w:tcW w:w="3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4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year</w:t>
            </w:r>
          </w:p>
        </w:tc>
        <w:tc>
          <w:tcPr>
            <w:tcW w:w="340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(141,299)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(56,631)</w:t>
            </w:r>
          </w:p>
        </w:tc>
      </w:tr>
      <w:tr>
        <w:trPr>
          <w:trHeight w:val="144"/>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Items not affecting cash:</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Amortization</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453</w:t>
            </w:r>
          </w:p>
        </w:tc>
        <w:tc>
          <w:tcPr>
            <w:tcW w:w="24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563</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Expenses settled with share-based payments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74,571</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27,098</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Interest on convertible debentures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1,003</w:t>
            </w:r>
          </w:p>
        </w:tc>
        <w:tc>
          <w:tcPr>
            <w:tcW w:w="24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Change in fair value of warrants liability</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(9,375)</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Unrealized foreign exchange</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working capital:</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Receivables and prepayments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(3,479)</w:t>
            </w:r>
          </w:p>
        </w:tc>
        <w:tc>
          <w:tcPr>
            <w:tcW w:w="240" w:type="dxa"/>
            <w:vAlign w:val="bottom"/>
          </w:tcPr>
          <w:p>
            <w:pPr>
              <w:spacing w:after="0"/>
              <w:rPr>
                <w:sz w:val="12"/>
                <w:szCs w:val="12"/>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(110)</w:t>
            </w:r>
          </w:p>
        </w:tc>
      </w:tr>
      <w:tr>
        <w:trPr>
          <w:trHeight w:val="153"/>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3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22,049</w:t>
            </w:r>
          </w:p>
        </w:tc>
        <w:tc>
          <w:tcPr>
            <w:tcW w:w="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2,487</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3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(56,092)</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(26,532)</w:t>
            </w:r>
          </w:p>
        </w:tc>
        <w:tc>
          <w:tcPr>
            <w:tcW w:w="120" w:type="dxa"/>
            <w:vAlign w:val="bottom"/>
            <w:gridSpan w:val="2"/>
          </w:tcPr>
          <w:p>
            <w:pPr>
              <w:spacing w:after="0"/>
              <w:rPr>
                <w:sz w:val="11"/>
                <w:szCs w:val="11"/>
                <w:color w:val="auto"/>
              </w:rPr>
            </w:pPr>
          </w:p>
        </w:tc>
      </w:tr>
      <w:tr>
        <w:trPr>
          <w:trHeight w:val="144"/>
        </w:trPr>
        <w:tc>
          <w:tcPr>
            <w:tcW w:w="41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 of deferred acquisition costs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(3,440)</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exploration contract</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(607)</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equipment</w:t>
            </w:r>
          </w:p>
        </w:tc>
        <w:tc>
          <w:tcPr>
            <w:tcW w:w="3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(402)</w:t>
            </w:r>
          </w:p>
        </w:tc>
        <w:tc>
          <w:tcPr>
            <w:tcW w:w="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(3,842)</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(607)</w:t>
            </w:r>
          </w:p>
        </w:tc>
        <w:tc>
          <w:tcPr>
            <w:tcW w:w="120" w:type="dxa"/>
            <w:vAlign w:val="bottom"/>
            <w:gridSpan w:val="2"/>
          </w:tcPr>
          <w:p>
            <w:pPr>
              <w:spacing w:after="0"/>
              <w:rPr>
                <w:sz w:val="11"/>
                <w:szCs w:val="11"/>
                <w:color w:val="auto"/>
              </w:rPr>
            </w:pPr>
          </w:p>
        </w:tc>
      </w:tr>
      <w:tr>
        <w:trPr>
          <w:trHeight w:val="144"/>
        </w:trPr>
        <w:tc>
          <w:tcPr>
            <w:tcW w:w="41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4,236</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919</w:t>
            </w:r>
          </w:p>
        </w:tc>
        <w:tc>
          <w:tcPr>
            <w:tcW w:w="100" w:type="dxa"/>
            <w:vAlign w:val="bottom"/>
            <w:shd w:val="clear" w:color="auto" w:fill="CCEEFF"/>
          </w:tcPr>
          <w:p>
            <w:pPr>
              <w:spacing w:after="0"/>
              <w:rPr>
                <w:sz w:val="12"/>
                <w:szCs w:val="12"/>
                <w:color w:val="auto"/>
              </w:rPr>
            </w:pP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convertible debentures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26,000</w:t>
            </w:r>
          </w:p>
        </w:tc>
        <w:tc>
          <w:tcPr>
            <w:tcW w:w="24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common shares (net of fees and other costs)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20,373</w:t>
            </w:r>
          </w:p>
        </w:tc>
        <w:tc>
          <w:tcPr>
            <w:tcW w:w="100" w:type="dxa"/>
            <w:vAlign w:val="bottom"/>
            <w:shd w:val="clear" w:color="auto" w:fill="CCEEFF"/>
          </w:tcPr>
          <w:p>
            <w:pPr>
              <w:spacing w:after="0"/>
              <w:rPr>
                <w:sz w:val="12"/>
                <w:szCs w:val="12"/>
                <w:color w:val="auto"/>
              </w:rPr>
            </w:pPr>
          </w:p>
        </w:tc>
      </w:tr>
      <w:tr>
        <w:trPr>
          <w:trHeight w:val="153"/>
        </w:trPr>
        <w:tc>
          <w:tcPr>
            <w:tcW w:w="418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Business Combination (net of fees and other costs)</w:t>
            </w: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104,465</w:t>
            </w:r>
          </w:p>
        </w:tc>
        <w:tc>
          <w:tcPr>
            <w:tcW w:w="240" w:type="dxa"/>
            <w:vAlign w:val="bottom"/>
          </w:tcPr>
          <w:p>
            <w:pPr>
              <w:spacing w:after="0"/>
              <w:rPr>
                <w:sz w:val="13"/>
                <w:szCs w:val="13"/>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33"/>
        </w:trPr>
        <w:tc>
          <w:tcPr>
            <w:tcW w:w="41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3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134,701</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21,292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4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Increase (decrease) in cash</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74,767</w:t>
            </w:r>
          </w:p>
        </w:tc>
        <w:tc>
          <w:tcPr>
            <w:tcW w:w="24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(5,847)</w:t>
            </w:r>
          </w:p>
        </w:tc>
      </w:tr>
      <w:tr>
        <w:trPr>
          <w:trHeight w:val="144"/>
        </w:trPr>
        <w:tc>
          <w:tcPr>
            <w:tcW w:w="4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Impact of exchange rate changes on cash</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w:t>
            </w:r>
          </w:p>
        </w:tc>
        <w:tc>
          <w:tcPr>
            <w:tcW w:w="240" w:type="dxa"/>
            <w:vAlign w:val="bottom"/>
          </w:tcPr>
          <w:p>
            <w:pPr>
              <w:spacing w:after="0"/>
              <w:rPr>
                <w:sz w:val="12"/>
                <w:szCs w:val="12"/>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w:t>
            </w:r>
          </w:p>
        </w:tc>
      </w:tr>
      <w:tr>
        <w:trPr>
          <w:trHeight w:val="15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 beginning of year</w:t>
            </w:r>
          </w:p>
        </w:tc>
        <w:tc>
          <w:tcPr>
            <w:tcW w:w="3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10,096</w:t>
            </w:r>
          </w:p>
        </w:tc>
        <w:tc>
          <w:tcPr>
            <w:tcW w:w="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15,951</w:t>
            </w:r>
          </w:p>
        </w:tc>
        <w:tc>
          <w:tcPr>
            <w:tcW w:w="100" w:type="dxa"/>
            <w:vAlign w:val="bottom"/>
            <w:shd w:val="clear" w:color="auto" w:fill="CCEEFF"/>
          </w:tcPr>
          <w:p>
            <w:pPr>
              <w:spacing w:after="0"/>
              <w:rPr>
                <w:sz w:val="13"/>
                <w:szCs w:val="13"/>
                <w:color w:val="auto"/>
              </w:rPr>
            </w:pPr>
          </w:p>
        </w:tc>
      </w:tr>
      <w:tr>
        <w:trPr>
          <w:trHeight w:val="133"/>
        </w:trPr>
        <w:tc>
          <w:tcPr>
            <w:tcW w:w="41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 end of year</w:t>
            </w:r>
          </w:p>
        </w:tc>
        <w:tc>
          <w:tcPr>
            <w:tcW w:w="316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84,873</w:t>
            </w:r>
          </w:p>
        </w:tc>
        <w:tc>
          <w:tcPr>
            <w:tcW w:w="22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10,096</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21"/>
        </w:trPr>
        <w:tc>
          <w:tcPr>
            <w:tcW w:w="4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and Full Year Corporate Update Conference Call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Thursday, March 24,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Transcript of Portions of Conference Call – Cautionary Statements and Presentation of Financial Results by the Chief Financial Officer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Craig Shesky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Please note that during the call certain statements made by the Company will be forward-looking and based on Management's beliefs and assumptions from information available at this time. These statements are subject to known and unknown risks and uncertainties, many of which may be beyond our control, including those set forth in our Safe Harbor provisions for forward-looking statements that can be found at the end of our fourth quarter 2021 corporate update press release. Such statements may also be found in our Form 10-K when it's available, and other reports filed with the SEC, all that provide further detail about the risks related to our business. Additionally, please note that the Company's actual results may differ materially from those anticipated and, except as required by law, we undertake no obligation to update any forward-looking statement.</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remarks today may also include non-GAAP financial measures, including with respect to free cash flows. Additional details regarding these non-GAAP financial measures, including reconciliations to the most directly comparable GAAP financial measures, can be found in our slide deck being used with this call. This slide deck is available on our website investors.metals.co.</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Craig Shesky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Gerard.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Gerard mentioned earlier, our cash balance of $85 million as of the end of December remains sufficient to fund operations into the third quarter of 2023, at which point TMC’s subsidiary, NORI, is expected to apply to the ISA for an exploitation contract. Despite facing significant financial headwinds as part of the de-SPAC process, we achieved major project development milestones in 2021, which you can see on the right-hand side of this page.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recorded a net loss of $19.8 million, or $0.09 per share, for the fourth quarter of 2021 compared to a net loss of $17.1 million, or $0.09 per share, for the fourth quarter of 2020. The higher net loss was mainly attributable to $2.6 million in non-cash share-based compensation and increased general and administrative expenses as being a public company, partially offset by an $8.5 million reduction in the fair value of the warrants liability as a result of the decrease in our share price. Backing out that $8.5 million warrant liability adjustment results in a net operating loss we show on this page of $28.3 million for Q4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Exploration expenses of $12.8 million in the fourth quarter of 2021 were similar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2" w:name="page13"/>
    <w:bookmarkEnd w:id="12"/>
    <w:p>
      <w:pPr>
        <w:jc w:val="both"/>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were $15.5 million for the fourth quarter of 2021 compared to $3.9 million for the fourth quarter of 2020, mainly driven by higher non-cash share-based compensation expense and overall higher cost as a result of being a public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Excluding nonrecurring items, free cash flow for the fourth quarter of 2021 was negative $27.8 million compared to negative $5.2 million in the fourth quarter of 2020.</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2021, the Company reported a net loss of $141 million compared to the $56.6 million in the prior year. Backing out the aforementioned $8.5 million warrant liability adjustment results in a net operating loss of $149.6 million for the Full Year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Exploration expenses increased from $48.9 million to $93.0 million, and G&amp;A expenses increased from $7.7 million to $56.6 million when comparing 2020 to 2021.</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Apart from the higher cost structure as a public company, the largest increases, both in exploration expenses and G&amp;A expenses, resulted from the issuance of stock options for DeepGreen employees and contractors in Q1 2021 before the business combination was finalized. The options granted in 2021 were awarded in lieu of cash bonuses to retain DeepGreen employees in furtherance of the Business Combination. The DeepGreen Board had the sole discretion to award these options, and they exercised this discretion to do so, as it had not consistently awarded cash bonuses to employees despite multiple years of service. Some of the options were granted subject to the achievement of significant long-term performance goals of DeepGreen, now TMC, and those remain unvested.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Finally, excluding nonrecurring items, free cash flow for 2021 was negative $51.1 million compared to negative $26.5 million in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I'll now turn it back over to Gerard for some final comments before opening it up to Q&amp;A.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 * Note that this is not a transcript of the entire conference call held on March 24, 2022 and consists only of the cautionary statements and an excerpt from the Chief Financial Officer’s financial update during the call.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 w:name="page14"/>
    <w:bookmarkEnd w:id="13"/>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7172960" cy="5069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5069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5069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2022-03-29T15:57:10Z</dcterms:created>
  <dcterms:modified xsi:type="dcterms:W3CDTF">2022-03-29T15:57:10Z</dcterms:modified>
</cp:coreProperties>
</file>