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65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65955"/>
                    </a:xfrm>
                    <a:prstGeom prst="rect">
                      <a:avLst/>
                    </a:prstGeom>
                    <a:noFill/>
                  </pic:spPr>
                </pic:pic>
              </a:graphicData>
            </a:graphic>
          </wp:anchor>
        </w:drawing>
      </w:r>
    </w:p>
    <w:p>
      <w:pPr>
        <w:spacing w:after="0" w:line="263" w:lineRule="exact"/>
        <w:rPr>
          <w:sz w:val="20"/>
          <w:szCs w:val="20"/>
          <w:color w:val="auto"/>
        </w:rPr>
      </w:pPr>
    </w:p>
    <w:p>
      <w:pPr>
        <w:ind w:left="700" w:right="7840" w:hanging="541"/>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8" w:lineRule="exact"/>
        <w:rPr>
          <w:sz w:val="20"/>
          <w:szCs w:val="20"/>
          <w:color w:val="auto"/>
        </w:rPr>
      </w:pPr>
    </w:p>
    <w:p>
      <w:pPr>
        <w:ind w:left="700" w:hanging="5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49" w:lineRule="exact"/>
        <w:rPr>
          <w:sz w:val="20"/>
          <w:szCs w:val="20"/>
          <w:color w:val="auto"/>
        </w:rPr>
      </w:pPr>
    </w:p>
    <w:p>
      <w:pPr>
        <w:ind w:left="700" w:hanging="5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63" w:lineRule="exact"/>
        <w:rPr>
          <w:sz w:val="20"/>
          <w:szCs w:val="20"/>
          <w:color w:val="auto"/>
        </w:rPr>
      </w:pPr>
    </w:p>
    <w:p>
      <w:pPr>
        <w:ind w:left="700" w:right="8920" w:hanging="5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00" w:hanging="5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1" w:lineRule="exact"/>
        <w:rPr>
          <w:sz w:val="20"/>
          <w:szCs w:val="20"/>
          <w:color w:val="auto"/>
        </w:rPr>
      </w:pPr>
    </w:p>
    <w:p>
      <w:pPr>
        <w:ind w:left="700" w:right="6860" w:hanging="541"/>
        <w:spacing w:after="0" w:line="27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13"/>
        </w:trPr>
        <w:tc>
          <w:tcPr>
            <w:tcW w:w="284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78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19"/>
                <w:szCs w:val="19"/>
                <w:color w:val="auto"/>
              </w:rPr>
            </w:pPr>
          </w:p>
        </w:tc>
        <w:tc>
          <w:tcPr>
            <w:tcW w:w="7840" w:type="dxa"/>
            <w:vAlign w:val="bottom"/>
          </w:tcPr>
          <w:p>
            <w:pPr>
              <w:ind w:left="120"/>
              <w:spacing w:after="0" w:line="226" w:lineRule="exact"/>
              <w:rPr>
                <w:sz w:val="20"/>
                <w:szCs w:val="20"/>
                <w:color w:val="auto"/>
              </w:rPr>
            </w:pPr>
            <w:r>
              <w:rPr>
                <w:rFonts w:ascii="Arial" w:cs="Arial" w:eastAsia="Arial" w:hAnsi="Arial"/>
                <w:sz w:val="16"/>
                <w:szCs w:val="16"/>
                <w:color w:val="auto"/>
              </w:rPr>
              <w:t>18,677,997 shares of Common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7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6"/>
                <w:szCs w:val="6"/>
                <w:color w:val="auto"/>
              </w:rPr>
            </w:pPr>
          </w:p>
        </w:tc>
        <w:tc>
          <w:tcPr>
            <w:tcW w:w="7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84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restart"/>
          </w:tcPr>
          <w:p>
            <w:pPr>
              <w:ind w:left="100"/>
              <w:spacing w:after="0" w:line="201" w:lineRule="exact"/>
              <w:rPr>
                <w:sz w:val="20"/>
                <w:szCs w:val="20"/>
                <w:color w:val="auto"/>
              </w:rPr>
            </w:pPr>
            <w:r>
              <w:rPr>
                <w:rFonts w:ascii="Arial" w:cs="Arial" w:eastAsia="Arial" w:hAnsi="Arial"/>
                <w:sz w:val="18"/>
                <w:szCs w:val="18"/>
                <w:color w:val="auto"/>
              </w:rPr>
              <w:t>8</w:t>
            </w:r>
          </w:p>
        </w:tc>
        <w:tc>
          <w:tcPr>
            <w:tcW w:w="784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4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840" w:type="dxa"/>
            <w:vAlign w:val="bottom"/>
            <w:vMerge w:val="restart"/>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840" w:type="dxa"/>
            <w:vAlign w:val="bottom"/>
            <w:tcBorders>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00"/>
              <w:spacing w:after="0" w:line="206" w:lineRule="exact"/>
              <w:rPr>
                <w:sz w:val="20"/>
                <w:szCs w:val="20"/>
                <w:color w:val="auto"/>
              </w:rPr>
            </w:pPr>
            <w:r>
              <w:rPr>
                <w:rFonts w:ascii="Arial" w:cs="Arial" w:eastAsia="Arial" w:hAnsi="Arial"/>
                <w:sz w:val="18"/>
                <w:szCs w:val="18"/>
                <w:color w:val="auto"/>
              </w:rPr>
              <w:t>9</w:t>
            </w:r>
          </w:p>
        </w:tc>
        <w:tc>
          <w:tcPr>
            <w:tcW w:w="7840" w:type="dxa"/>
            <w:vAlign w:val="bottom"/>
            <w:vMerge w:val="restart"/>
          </w:tcPr>
          <w:p>
            <w:pPr>
              <w:ind w:left="120"/>
              <w:spacing w:after="0" w:line="20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9"/>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2"/>
                <w:szCs w:val="12"/>
                <w:color w:val="auto"/>
              </w:rPr>
            </w:pP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84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840" w:type="dxa"/>
            <w:vAlign w:val="bottom"/>
            <w:vMerge w:val="restart"/>
          </w:tcPr>
          <w:p>
            <w:pPr>
              <w:ind w:left="120"/>
              <w:spacing w:after="0" w:line="294" w:lineRule="exact"/>
              <w:rPr>
                <w:sz w:val="20"/>
                <w:szCs w:val="20"/>
                <w:color w:val="auto"/>
              </w:rPr>
            </w:pPr>
            <w:r>
              <w:rPr>
                <w:rFonts w:ascii="Arial" w:cs="Arial" w:eastAsia="Arial" w:hAnsi="Arial"/>
                <w:sz w:val="18"/>
                <w:szCs w:val="18"/>
                <w:color w:val="auto"/>
              </w:rPr>
              <w:t>18,677,997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4"/>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PERSON WITH</w:t>
            </w:r>
          </w:p>
        </w:tc>
        <w:tc>
          <w:tcPr>
            <w:tcW w:w="5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10</w:t>
            </w:r>
          </w:p>
        </w:tc>
        <w:tc>
          <w:tcPr>
            <w:tcW w:w="78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4"/>
        </w:trPr>
        <w:tc>
          <w:tcPr>
            <w:tcW w:w="2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660" w:right="4020" w:hanging="501"/>
        <w:spacing w:after="0" w:line="260" w:lineRule="auto"/>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18,677,997 shares of Common Shares</w:t>
      </w:r>
    </w:p>
    <w:p>
      <w:pPr>
        <w:spacing w:after="0" w:line="23" w:lineRule="exact"/>
        <w:rPr>
          <w:rFonts w:ascii="Arial" w:cs="Arial" w:eastAsia="Arial" w:hAnsi="Arial"/>
          <w:sz w:val="18"/>
          <w:szCs w:val="18"/>
          <w:color w:val="auto"/>
        </w:rPr>
      </w:pPr>
    </w:p>
    <w:p>
      <w:pPr>
        <w:ind w:left="660" w:hanging="501"/>
        <w:spacing w:after="0"/>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0" w:lineRule="exact"/>
        <w:rPr>
          <w:rFonts w:ascii="Arial" w:cs="Arial" w:eastAsia="Arial" w:hAnsi="Arial"/>
          <w:sz w:val="18"/>
          <w:szCs w:val="18"/>
          <w:color w:val="auto"/>
        </w:rPr>
      </w:pPr>
    </w:p>
    <w:p>
      <w:pPr>
        <w:ind w:left="660" w:hanging="501"/>
        <w:spacing w:after="0"/>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660"/>
        <w:spacing w:after="0" w:line="224" w:lineRule="auto"/>
        <w:rPr>
          <w:rFonts w:ascii="Arial" w:cs="Arial" w:eastAsia="Arial" w:hAnsi="Arial"/>
          <w:sz w:val="18"/>
          <w:szCs w:val="18"/>
          <w:color w:val="auto"/>
        </w:rPr>
      </w:pPr>
      <w:r>
        <w:rPr>
          <w:rFonts w:ascii="Arial" w:cs="Arial" w:eastAsia="Arial" w:hAnsi="Arial"/>
          <w:sz w:val="18"/>
          <w:szCs w:val="18"/>
          <w:color w:val="auto"/>
        </w:rPr>
        <w:t>8.24% of the Common Shares</w:t>
      </w:r>
      <w:r>
        <w:rPr>
          <w:rFonts w:ascii="Arial" w:cs="Arial" w:eastAsia="Arial" w:hAnsi="Arial"/>
          <w:sz w:val="29"/>
          <w:szCs w:val="29"/>
          <w:color w:val="auto"/>
          <w:vertAlign w:val="superscript"/>
        </w:rPr>
        <w:t>2</w:t>
      </w:r>
    </w:p>
    <w:p>
      <w:pPr>
        <w:ind w:left="660" w:right="8060" w:hanging="501"/>
        <w:spacing w:after="0" w:line="258" w:lineRule="auto"/>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Consists of (i) 14,510,559 Common Shares, (ii) 4,078,044 Common Shares underlying options that are exercisable within 60 days of April 5, 2022, and</w:t>
      </w:r>
    </w:p>
    <w:p>
      <w:pPr>
        <w:jc w:val="both"/>
        <w:ind w:left="80" w:firstLine="9"/>
        <w:spacing w:after="0" w:line="280" w:lineRule="auto"/>
        <w:tabs>
          <w:tab w:leader="none" w:pos="415" w:val="left"/>
        </w:tabs>
        <w:numPr>
          <w:ilvl w:val="1"/>
          <w:numId w:val="8"/>
        </w:numPr>
        <w:rPr>
          <w:rFonts w:ascii="Arial" w:cs="Arial" w:eastAsia="Arial" w:hAnsi="Arial"/>
          <w:sz w:val="16"/>
          <w:szCs w:val="16"/>
          <w:color w:val="auto"/>
        </w:rPr>
      </w:pPr>
      <w:r>
        <w:rPr>
          <w:rFonts w:ascii="Arial" w:cs="Arial" w:eastAsia="Arial" w:hAnsi="Arial"/>
          <w:sz w:val="16"/>
          <w:szCs w:val="16"/>
          <w:color w:val="auto"/>
        </w:rPr>
        <w:t>89,394 Common Shares underlying warrants. Does not include (i) up to 781,250 restricted stock units, each representing the right to receive one Common Share upon vesting, which vest in three equal annual installments beginning on November 22, 2022 and ending on November 22, 2024 and</w:t>
      </w:r>
    </w:p>
    <w:p>
      <w:pPr>
        <w:spacing w:after="0" w:line="1" w:lineRule="exact"/>
        <w:rPr>
          <w:rFonts w:ascii="Arial" w:cs="Arial" w:eastAsia="Arial" w:hAnsi="Arial"/>
          <w:sz w:val="16"/>
          <w:szCs w:val="16"/>
          <w:color w:val="auto"/>
        </w:rPr>
      </w:pPr>
    </w:p>
    <w:p>
      <w:pPr>
        <w:jc w:val="both"/>
        <w:ind w:left="80" w:firstLine="9"/>
        <w:spacing w:after="0" w:line="255" w:lineRule="auto"/>
        <w:tabs>
          <w:tab w:leader="none" w:pos="356" w:val="left"/>
        </w:tabs>
        <w:numPr>
          <w:ilvl w:val="1"/>
          <w:numId w:val="9"/>
        </w:numPr>
        <w:rPr>
          <w:rFonts w:ascii="Arial" w:cs="Arial" w:eastAsia="Arial" w:hAnsi="Arial"/>
          <w:sz w:val="18"/>
          <w:szCs w:val="18"/>
          <w:color w:val="auto"/>
        </w:rPr>
      </w:pPr>
      <w:r>
        <w:rPr>
          <w:rFonts w:ascii="Arial" w:cs="Arial" w:eastAsia="Arial" w:hAnsi="Arial"/>
          <w:sz w:val="18"/>
          <w:szCs w:val="18"/>
          <w:color w:val="auto"/>
        </w:rPr>
        <w:t>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90" w:lineRule="exact"/>
        <w:rPr>
          <w:sz w:val="20"/>
          <w:szCs w:val="20"/>
          <w:color w:val="auto"/>
        </w:rPr>
      </w:pPr>
    </w:p>
    <w:p>
      <w:pPr>
        <w:ind w:left="80" w:hanging="72"/>
        <w:spacing w:after="0" w:line="194" w:lineRule="auto"/>
        <w:tabs>
          <w:tab w:leader="none" w:pos="128"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Calculated based on 226,780,843 Common Shares issued and outstanding as of March 25, 2022, as reported in the Issuer’s Annual Report on Form 10-K filed on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3 of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5 TO SCHEDULE 13D</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Amendment No. 5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and on February 9, 2022 (the “Schedule 13D”), by Gerard Barron (the “Reporting Person”).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30, 2022, the Reporting Person acquired 23,000 Common Shares in multiple open-market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and 23,000 Common Shares beneficially owned by the Reporting Person were subsequently acquired by the Reporting Person on March 30, 2022.</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4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Reporting Person holds (i) 14,510,559 Common Shares and (ii) 4,078,044 Common Shares underlying options that are exercisable within 60 days of April 5, 2022,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781,250 restricted stock units, each representing the right to receive one Common Share upon vesting, granted to the Reporting Person on November 22, 2021 under the Issuer's 2021 Equity Incentive Plan, which vest in three equal annual installments beginning on November 22, 2022 and ending on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5600" w:val="left"/>
        </w:tabs>
        <w:rPr>
          <w:sz w:val="20"/>
          <w:szCs w:val="20"/>
          <w:color w:val="auto"/>
        </w:rPr>
      </w:pPr>
      <w:r>
        <w:rPr>
          <w:rFonts w:ascii="Arial" w:cs="Arial" w:eastAsia="Arial" w:hAnsi="Arial"/>
          <w:sz w:val="18"/>
          <w:szCs w:val="18"/>
          <w:color w:val="auto"/>
        </w:rPr>
        <w:t>Dated: April 5, 2022</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1"/>
      <w:numFmt w:val="decimal"/>
      <w:start w:val="1"/>
    </w:lvl>
    <w:lvl w:ilvl="1">
      <w:lvlJc w:val="left"/>
      <w:lvlText w:val="%2"/>
      <w:numFmt w:val="lowerRoman"/>
      <w:start w:val="1"/>
    </w:lvl>
    <w:lvl w:ilvl="2">
      <w:lvlJc w:val="left"/>
      <w:lvlText w:val="%3"/>
      <w:numFmt w:val="decimal"/>
      <w:start w:val="11"/>
    </w:lvl>
  </w:abstractNum>
  <w:abstractNum w:abstractNumId="7">
    <w:nsid w:val="5BD062C2"/>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8">
    <w:nsid w:val="1220085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2022-04-05T15:14:41Z</dcterms:created>
  <dcterms:modified xsi:type="dcterms:W3CDTF">2022-04-05T15:14:41Z</dcterms:modified>
</cp:coreProperties>
</file>