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British Columbia, Canada</w:t>
            </w:r>
          </w:p>
        </w:tc>
        <w:tc>
          <w:tcPr>
            <w:tcW w:w="384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8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890"/>
              <w:spacing w:after="0"/>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4"/>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292"/>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6"/>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TMCWW</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May 9, 2022, TMC the metals company Inc. (the “Company”) issued a press release announcing its results for the first quarter ended March 31, 2022 and providing a business update. A copy of the press release is furnished as Exhibit 99.1 hereto. In addition, the Company will hold a conference call on May 9, 2022 at 4:30 p.m. EDT to discuss these results and the business update.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Except for historical information contained in the press release attached as an exhibit</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4"/>
          </w:tcPr>
          <w:p>
            <w:pPr>
              <w:ind w:left="260"/>
              <w:spacing w:after="0"/>
              <w:rPr>
                <w:sz w:val="20"/>
                <w:szCs w:val="20"/>
                <w:color w:val="auto"/>
              </w:rPr>
            </w:pPr>
            <w:r>
              <w:rPr>
                <w:rFonts w:ascii="Arial" w:cs="Arial" w:eastAsia="Arial" w:hAnsi="Arial"/>
                <w:sz w:val="18"/>
                <w:szCs w:val="18"/>
                <w:b w:val="1"/>
                <w:bCs w:val="1"/>
                <w:color w:val="auto"/>
              </w:rPr>
              <w:t>Exhibit</w:t>
            </w:r>
          </w:p>
        </w:tc>
        <w:tc>
          <w:tcPr>
            <w:tcW w:w="9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4"/>
        </w:trPr>
        <w:tc>
          <w:tcPr>
            <w:tcW w:w="1480" w:type="dxa"/>
            <w:vAlign w:val="bottom"/>
            <w:gridSpan w:val="4"/>
          </w:tcPr>
          <w:p>
            <w:pPr>
              <w:ind w:left="260"/>
              <w:spacing w:after="0"/>
              <w:rPr>
                <w:sz w:val="20"/>
                <w:szCs w:val="20"/>
                <w:color w:val="auto"/>
              </w:rPr>
            </w:pPr>
            <w:r>
              <w:rPr>
                <w:rFonts w:ascii="Arial" w:cs="Arial" w:eastAsia="Arial" w:hAnsi="Arial"/>
                <w:sz w:val="18"/>
                <w:szCs w:val="18"/>
                <w:b w:val="1"/>
                <w:bCs w:val="1"/>
                <w:color w:val="auto"/>
              </w:rPr>
              <w:t>Number</w:t>
            </w:r>
          </w:p>
        </w:tc>
        <w:tc>
          <w:tcPr>
            <w:tcW w:w="9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Borders>
              <w:top w:val="single" w:sz="8" w:color="auto"/>
            </w:tcBorders>
            <w:gridSpan w:val="3"/>
          </w:tcPr>
          <w:p>
            <w:pPr>
              <w:jc w:val="center"/>
              <w:ind w:right="38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40" w:type="dxa"/>
            <w:vAlign w:val="bottom"/>
          </w:tcPr>
          <w:p>
            <w:pPr>
              <w:spacing w:after="0"/>
              <w:rPr>
                <w:sz w:val="20"/>
                <w:szCs w:val="20"/>
                <w:color w:val="auto"/>
              </w:rPr>
            </w:pPr>
          </w:p>
        </w:tc>
        <w:tc>
          <w:tcPr>
            <w:tcW w:w="976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9, 2022</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9"/>
              </w:rPr>
              <w:t>Cover Page Interactive Data File (embedded within the iXBRL (Inline eXtensible Business Reporting Language) document)</w:t>
            </w:r>
          </w:p>
        </w:tc>
        <w:tc>
          <w:tcPr>
            <w:tcW w:w="0" w:type="dxa"/>
            <w:vAlign w:val="bottom"/>
          </w:tcPr>
          <w:p>
            <w:pPr>
              <w:spacing w:after="0"/>
              <w:rPr>
                <w:sz w:val="1"/>
                <w:szCs w:val="1"/>
                <w:color w:val="auto"/>
              </w:rPr>
            </w:pPr>
          </w:p>
        </w:tc>
      </w:tr>
      <w:tr>
        <w:trPr>
          <w:trHeight w:val="648"/>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9, 2022</w:t>
            </w: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By: /s/ Gerard Barron</w:t>
            </w:r>
          </w:p>
        </w:tc>
      </w:tr>
      <w:tr>
        <w:trPr>
          <w:trHeight w:val="20"/>
        </w:trPr>
        <w:tc>
          <w:tcPr>
            <w:tcW w:w="3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82"/>
        </w:trPr>
        <w:tc>
          <w:tcPr>
            <w:tcW w:w="3500" w:type="dxa"/>
            <w:vAlign w:val="bottom"/>
          </w:tcPr>
          <w:p>
            <w:pPr>
              <w:spacing w:after="0"/>
              <w:rPr>
                <w:sz w:val="15"/>
                <w:szCs w:val="15"/>
                <w:color w:val="auto"/>
              </w:rPr>
            </w:pPr>
          </w:p>
        </w:tc>
        <w:tc>
          <w:tcPr>
            <w:tcW w:w="7740" w:type="dxa"/>
            <w:vAlign w:val="bottom"/>
            <w:gridSpan w:val="2"/>
          </w:tcPr>
          <w:p>
            <w:pPr>
              <w:ind w:left="2140"/>
              <w:spacing w:after="0" w:line="182" w:lineRule="exact"/>
              <w:rPr>
                <w:sz w:val="20"/>
                <w:szCs w:val="20"/>
                <w:color w:val="auto"/>
              </w:rPr>
            </w:pPr>
            <w:r>
              <w:rPr>
                <w:rFonts w:ascii="Arial" w:cs="Arial" w:eastAsia="Arial" w:hAnsi="Arial"/>
                <w:sz w:val="18"/>
                <w:szCs w:val="18"/>
                <w:color w:val="auto"/>
              </w:rPr>
              <w:t>Name: Gerard Barron</w:t>
            </w:r>
          </w:p>
        </w:tc>
      </w:tr>
      <w:tr>
        <w:trPr>
          <w:trHeight w:val="230"/>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Metals Company Provides Q1 2022 Corporate Update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YORK, May 9, 2022 (GLOBE NEWSWIRE) -- TMC the metals company Inc. (Nasdaq: TMC) (“TMC” or “the Company”), an explorer of lower-impact battery metals from seafloor polymetallic nodules, today provided a corporate update and financial results for the first quarter ending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2022 Financial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$21.1 million and loss per share of $0.09 for the quarter ended March 31, 2022.</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cash of approximately $69.0 million at March 31, 2022 which we believe will be sufficient to meet our working capital and capital expenditure requirements for at least the next twelve months from today.</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Gerard Barron, TMC Chairman and CEO, commented: “I am extremely proud of the progress made by our team and our partners in the first quarter of 2022. We continue to execute our plans both offshore and onshore, with our partner Allseas successfully testing our pilot nodule collection system in the deep sea, and our recently announced business collaboration with Epsilon Carbon setting the stage for a potential nodule processing plant in India.”</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the challenge of meeting the massive mineral requirements of electrification is forcing auto OEMs to rethink their supply chains, insufficient supply and rising prices for key battery metals threaten to undermine commitments to responsible sourcing. We are now seeing this play out with some major car companies inking supply deals with Chinese-funded producers known to violate human rights and cause unchecked tropical deforestation and pollution in the planet’s most biodiverse ecosystems. Lying far offshore in international waters, deep-sea nodules offer a potential alternative that Western nations are waking up to, particularly as the national security implications of the clean energy transition become more acute. Individually, our NORI and TOML projects eclipse all other nickel development projects in terms of size and accessibility, and could deliver an abundant supply of battery metals while helping to meet infrastructure-led demand for steel in the developing world.”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 in the First Quarter 2022</w:t>
      </w:r>
    </w:p>
    <w:p>
      <w:pPr>
        <w:spacing w:after="0" w:line="225" w:lineRule="exact"/>
        <w:rPr>
          <w:sz w:val="20"/>
          <w:szCs w:val="20"/>
          <w:color w:val="auto"/>
        </w:rPr>
      </w:pPr>
    </w:p>
    <w:p>
      <w:pPr>
        <w:jc w:val="both"/>
        <w:ind w:left="660" w:hanging="328"/>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Project Zero Plant</w:t>
      </w:r>
      <w:r>
        <w:rPr>
          <w:rFonts w:ascii="Arial" w:cs="Arial" w:eastAsia="Arial" w:hAnsi="Arial"/>
          <w:sz w:val="16"/>
          <w:szCs w:val="16"/>
          <w:color w:val="auto"/>
        </w:rPr>
        <w:t>: In March 2022, we announced that we entered into a non-binding memorandum of understanding for a business collaboration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Epsilon Carbon Pvt, LTD. to complete a pre-feasibility study for a commercial plant in India, powered by renewables and targeting capacity to process approximately 1.3 million tonnes per annum (Mtpa) of wet nodules into more than 30,000 tonnes per annum (TPA) of an intermediate nickel-copper-cobalt matte product used in active cathode material for nickel-rich cathode chemistries for lithium-ion batteries and more than 750,000 TPA of a manganese silicate product expected to be used in manganese alloy production for the steel industry.</w:t>
      </w:r>
    </w:p>
    <w:p>
      <w:pPr>
        <w:spacing w:after="0" w:line="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Project Zero System</w:t>
      </w:r>
      <w:r>
        <w:rPr>
          <w:rFonts w:ascii="Arial" w:cs="Arial" w:eastAsia="Arial" w:hAnsi="Arial"/>
          <w:sz w:val="18"/>
          <w:szCs w:val="18"/>
          <w:color w:val="auto"/>
        </w:rPr>
        <w:t>: In March 2022, our subsidiary, NORI, and Allseas Group S.A. entered into a non-binding term sheet for the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operation of a commercial nodule collection system. The pilot nodule collection system developed and currently being tested by Allseas is expected to be upgraded to a commercial system with a targeted production capacity of approximately 1.3 Mtpa of wet nodules, with expected production readiness by the fourth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Pilot collection system trials</w:t>
      </w:r>
    </w:p>
    <w:p>
      <w:pPr>
        <w:spacing w:after="0" w:line="27" w:lineRule="exact"/>
        <w:rPr>
          <w:rFonts w:ascii="Arial" w:cs="Arial" w:eastAsia="Arial" w:hAnsi="Arial"/>
          <w:sz w:val="18"/>
          <w:szCs w:val="18"/>
          <w:color w:val="auto"/>
        </w:rPr>
      </w:pPr>
    </w:p>
    <w:p>
      <w:pPr>
        <w:ind w:left="980" w:right="20" w:hanging="324"/>
        <w:spacing w:after="0" w:line="250"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Harbor Trials: </w:t>
      </w:r>
      <w:r>
        <w:rPr>
          <w:rFonts w:ascii="Arial" w:cs="Arial" w:eastAsia="Arial" w:hAnsi="Arial"/>
          <w:sz w:val="18"/>
          <w:szCs w:val="18"/>
          <w:color w:val="auto"/>
        </w:rPr>
        <w:t>In March 2022, the pilot collector vehicle underwent extensive equipment testing in the Port of Rotterdam and all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were shown to be fully functional.</w:t>
      </w:r>
    </w:p>
    <w:p>
      <w:pPr>
        <w:jc w:val="both"/>
        <w:ind w:left="980" w:hanging="324"/>
        <w:spacing w:after="0" w:line="250"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North Sea Drive Trials: </w:t>
      </w:r>
      <w:r>
        <w:rPr>
          <w:rFonts w:ascii="Arial" w:cs="Arial" w:eastAsia="Arial" w:hAnsi="Arial"/>
          <w:sz w:val="18"/>
          <w:szCs w:val="18"/>
          <w:color w:val="auto"/>
        </w:rPr>
        <w:t>In March 2022, the pilot collector vehicle 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Hidden Gem</w:t>
      </w:r>
      <w:r>
        <w:rPr>
          <w:rFonts w:ascii="Arial" w:cs="Arial" w:eastAsia="Arial" w:hAnsi="Arial"/>
          <w:sz w:val="18"/>
          <w:szCs w:val="18"/>
          <w:b w:val="1"/>
          <w:bCs w:val="1"/>
          <w:color w:val="auto"/>
        </w:rPr>
        <w:t xml:space="preserve"> </w:t>
      </w:r>
      <w:r>
        <w:rPr>
          <w:rFonts w:ascii="Arial" w:cs="Arial" w:eastAsia="Arial" w:hAnsi="Arial"/>
          <w:sz w:val="18"/>
          <w:szCs w:val="18"/>
          <w:color w:val="auto"/>
        </w:rPr>
        <w:t>vessel underwent extensive testing of critical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deployment and mobility functions in the Dutch Sector of the North Sea, with the collector covering a total of 4,533 meters on the seafloor. All systems were shown to be functional. Engineers successfully completed a variety of tests of the dynamic positioning system aboard </w:t>
      </w:r>
      <w:r>
        <w:rPr>
          <w:rFonts w:ascii="Arial" w:cs="Arial" w:eastAsia="Arial" w:hAnsi="Arial"/>
          <w:sz w:val="18"/>
          <w:szCs w:val="18"/>
          <w:i w:val="1"/>
          <w:iCs w:val="1"/>
          <w:color w:val="auto"/>
        </w:rPr>
        <w:t xml:space="preserve">Hidden Gem </w:t>
      </w:r>
      <w:r>
        <w:rPr>
          <w:rFonts w:ascii="Arial" w:cs="Arial" w:eastAsia="Arial" w:hAnsi="Arial"/>
          <w:sz w:val="18"/>
          <w:szCs w:val="18"/>
          <w:color w:val="auto"/>
        </w:rPr>
        <w:t>in advance of pilot trials in the NORI Area D in the Clarion Clipperton Zone (CCZ) expected to begin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2022.</w:t>
      </w:r>
    </w:p>
    <w:p>
      <w:pPr>
        <w:spacing w:after="0" w:line="1"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SINTEF independent analysis of TMC’s manganese silicate product: </w:t>
      </w:r>
      <w:r>
        <w:rPr>
          <w:rFonts w:ascii="Arial" w:cs="Arial" w:eastAsia="Arial" w:hAnsi="Arial"/>
          <w:sz w:val="17"/>
          <w:szCs w:val="17"/>
          <w:color w:val="auto"/>
        </w:rPr>
        <w:t>SINTEF, one of Europe’s largest independent research institutions, was</w:t>
      </w:r>
      <w:r>
        <w:rPr>
          <w:rFonts w:ascii="Arial" w:cs="Arial" w:eastAsia="Arial" w:hAnsi="Arial"/>
          <w:sz w:val="17"/>
          <w:szCs w:val="17"/>
          <w:b w:val="1"/>
          <w:bCs w:val="1"/>
          <w:color w:val="auto"/>
        </w:rPr>
        <w:t xml:space="preserve"> </w:t>
      </w:r>
      <w:r>
        <w:rPr>
          <w:rFonts w:ascii="Arial" w:cs="Arial" w:eastAsia="Arial" w:hAnsi="Arial"/>
          <w:sz w:val="17"/>
          <w:szCs w:val="17"/>
          <w:color w:val="auto"/>
        </w:rPr>
        <w:t>retained by us to analyze our manganese silicate product that can be used to produce silicomanganese alloy for steelmaking and found that it behaves similarly to traditional manganese sources. Our high-grade nodule-derived manganese silicate, which we estimate could account for almost 30% of future revenues, appears to have significant advantages over conventional manganese ores on cost and CO2 footprint, with the potential for 7 to 17% higher value-in-use, depending on carbon tax regimes.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 Subsequent to March 31, 2022</w:t>
      </w:r>
    </w:p>
    <w:p>
      <w:pPr>
        <w:spacing w:after="0" w:line="225" w:lineRule="exact"/>
        <w:rPr>
          <w:sz w:val="20"/>
          <w:szCs w:val="20"/>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Pilot Collection System Trials - Atlantic Deep-Water Trials: </w:t>
      </w:r>
      <w:r>
        <w:rPr>
          <w:rFonts w:ascii="Arial" w:cs="Arial" w:eastAsia="Arial" w:hAnsi="Arial"/>
          <w:sz w:val="18"/>
          <w:szCs w:val="18"/>
          <w:color w:val="auto"/>
        </w:rPr>
        <w:t>In April 2022, the Allseas-designed and constructed pilot nodule collector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was deployed from the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and lowered to the seafloor at depths of 2,470 meters, marking the first time the vehicle has been subjected to ultra-deep-water temperatures and pressures. A range of critical functions were successfully tested while driving over one kilometer on the seafloor confirming the vehicle’s capability to operate in pressure and temperature conditions similar to those it will encounter in the NORI-D Area in the CCZ.</w:t>
      </w:r>
    </w:p>
    <w:p>
      <w:pPr>
        <w:spacing w:after="0" w:line="3"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Independent Lifecycle Impact Assessment of NORI-D project</w:t>
      </w:r>
      <w:r>
        <w:rPr>
          <w:rFonts w:ascii="Arial" w:cs="Arial" w:eastAsia="Arial" w:hAnsi="Arial"/>
          <w:sz w:val="18"/>
          <w:szCs w:val="18"/>
          <w:color w:val="auto"/>
        </w:rPr>
        <w:t>: In April 2022, we announced that we chose leading lithium-ion battery supply</w:t>
      </w:r>
      <w:r>
        <w:rPr>
          <w:rFonts w:ascii="Arial" w:cs="Arial" w:eastAsia="Arial" w:hAnsi="Arial"/>
          <w:sz w:val="18"/>
          <w:szCs w:val="18"/>
          <w:b w:val="1"/>
          <w:bCs w:val="1"/>
          <w:color w:val="auto"/>
        </w:rPr>
        <w:t xml:space="preserve"> </w:t>
      </w:r>
      <w:r>
        <w:rPr>
          <w:rFonts w:ascii="Arial" w:cs="Arial" w:eastAsia="Arial" w:hAnsi="Arial"/>
          <w:sz w:val="18"/>
          <w:szCs w:val="18"/>
          <w:color w:val="auto"/>
        </w:rPr>
        <w:t>chain research firm, Benchmark Mineral Intelligence (Benchmark), to conduct an independent lifecycle assessment of the environmental impacts of our planned NORI-D polymetallic nodule project and compare these impacts to producing the same metals from commonly used production pathways using conventional land ores. Benchmark anticipates completing its comprehensive Lifecycle Impact Assessment for us in the third quarter of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left="660" w:right="1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Mining.com released their 2022 rankings of the world’s largest undeveloped nickel projects, with our NORI area ranking #1 and our TOML area ranking #2.</w:t>
      </w:r>
    </w:p>
    <w:p>
      <w:pPr>
        <w:spacing w:after="0" w:line="1" w:lineRule="exact"/>
        <w:rPr>
          <w:rFonts w:ascii="Arial" w:cs="Arial" w:eastAsia="Arial" w:hAnsi="Arial"/>
          <w:sz w:val="18"/>
          <w:szCs w:val="18"/>
          <w:color w:val="auto"/>
        </w:rPr>
      </w:pPr>
    </w:p>
    <w:p>
      <w:pPr>
        <w:jc w:val="both"/>
        <w:ind w:left="660" w:hanging="328"/>
        <w:spacing w:after="0" w:line="22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International Seabed Authority (ISA) continues to work to a two-year timeline to finalize regulations regarding exploitation of deep-sea minerals by July 9, 2023. An in-person ISA Council meeting in Kingston, Jamaica concluded on April 1, 2022, with the next ISA Council meeting scheduled for July 2022 and a third meeting anticipated in November 2022. In December 2021, the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Session of the Assembly of the ISA was formally closed, with members approving an updated plan of work for 2022.</w:t>
      </w:r>
    </w:p>
    <w:p>
      <w:pPr>
        <w:spacing w:after="0" w:line="1"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 February 2022 letter to U.S. Energy Secretary Jennifer Granholm, Senator Lisa Murkowski called for a focus on securing access to battery raw materials and an analysis of the potential of polymetallic nodules in the CCZ; while seventeen retired generals, admirals and officers across four U.S. military branches warned of the U.S.’ extreme vulnerability to supply chain shocks, and called for the responsible development of the vast polymetallic nodule resource in the CCZ in a letter to the Department of Defense. In April, Senator Marco Rubio requested information from Volkswagen as to its supply agreements with leading Chinese battery metal producers, Huayou and Tsingshan, given the automaker’s commitment to responsible sourcing and the known environmental and social risks of their activities. Noting Volkswagen’s pledge not to use seabed minerals until further study into the impacts of deep sea mining had been conducted, Rubio questioned whether VW felt these potential impacts outweighed the known existing impacts to rainforest ecosystems and human rights present in the operations of their new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Results 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2022, TMC held cash of $69.0 million and held no debt. We believe that our cash on hand will be sufficient to meet our working capital and capital expenditure requirements for at least the next twelve months from today.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TMC reported a net loss for the first quarter of 2022 of $21.1 million, or $0.09 per share, compared to TMC’s net loss of $55.7 million, or $0.29 per share, for the first quarter of 2021. The net loss for the first quarter of 2022 was mainly due to non-cash share-based compensation of $5.7 million, loss on fair value changes of warrants liability of $5.2 million and $1.3 million expensed for the pilot mining test system. Exploration and evaluation expenses during the first quarter of 2022 were $7.3 million compared to $38.1 million for the first quarter of 2021. The first quarter of 2022 reflects a decrease in offshore campaign activity following the completion of NORI Area D environmental baseline campaigns in the fourth quarter of 2021, a decrease in share-based compensation, while the comparative quarter of 2021 includes a fair value increase in common shares issued to Maersk Supply Service A/S. General and administrative expenses were $8.6 million for the first quarter of 2022 compared to $17.4 million for the first quarter of 2021, reflecting a reduction in share-based compensation. Both exploration and evaluation expenses and general and administrative expenses in the first quarter of 2021 were impacted by significant awards of stock options in March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TMC will hold a conference call today at 4:30 p.m. ET to provide an update on recent corporate developments, first quarter financial results and upcoming milestones.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Conference Call Details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Date:</w:t>
            </w:r>
          </w:p>
        </w:tc>
        <w:tc>
          <w:tcPr>
            <w:tcW w:w="8420" w:type="dxa"/>
            <w:vAlign w:val="bottom"/>
            <w:gridSpan w:val="2"/>
          </w:tcPr>
          <w:p>
            <w:pPr>
              <w:spacing w:after="0"/>
              <w:rPr>
                <w:sz w:val="20"/>
                <w:szCs w:val="20"/>
                <w:color w:val="auto"/>
              </w:rPr>
            </w:pPr>
            <w:r>
              <w:rPr>
                <w:rFonts w:ascii="Arial" w:cs="Arial" w:eastAsia="Arial" w:hAnsi="Arial"/>
                <w:sz w:val="18"/>
                <w:szCs w:val="18"/>
                <w:color w:val="auto"/>
              </w:rPr>
              <w:t>Monday, May 9, 2022</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Time:</w:t>
            </w:r>
          </w:p>
        </w:tc>
        <w:tc>
          <w:tcPr>
            <w:tcW w:w="8420" w:type="dxa"/>
            <w:vAlign w:val="bottom"/>
            <w:gridSpan w:val="2"/>
          </w:tcPr>
          <w:p>
            <w:pPr>
              <w:spacing w:after="0"/>
              <w:rPr>
                <w:sz w:val="20"/>
                <w:szCs w:val="20"/>
                <w:color w:val="auto"/>
              </w:rPr>
            </w:pPr>
            <w:r>
              <w:rPr>
                <w:rFonts w:ascii="Arial" w:cs="Arial" w:eastAsia="Arial" w:hAnsi="Arial"/>
                <w:sz w:val="18"/>
                <w:szCs w:val="18"/>
                <w:color w:val="auto"/>
              </w:rPr>
              <w:t>04:30 p.m. Eastern</w:t>
            </w:r>
          </w:p>
        </w:tc>
      </w:tr>
      <w:tr>
        <w:trPr>
          <w:trHeight w:val="230"/>
        </w:trPr>
        <w:tc>
          <w:tcPr>
            <w:tcW w:w="28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Daylight Time</w:t>
            </w:r>
          </w:p>
        </w:tc>
      </w:tr>
      <w:tr>
        <w:trPr>
          <w:trHeight w:val="391"/>
        </w:trPr>
        <w:tc>
          <w:tcPr>
            <w:tcW w:w="2820" w:type="dxa"/>
            <w:vAlign w:val="bottom"/>
          </w:tcPr>
          <w:p>
            <w:pPr>
              <w:spacing w:after="0"/>
              <w:rPr>
                <w:sz w:val="20"/>
                <w:szCs w:val="20"/>
                <w:color w:val="auto"/>
              </w:rPr>
            </w:pPr>
            <w:r>
              <w:rPr>
                <w:rFonts w:ascii="Arial" w:cs="Arial" w:eastAsia="Arial" w:hAnsi="Arial"/>
                <w:sz w:val="18"/>
                <w:szCs w:val="18"/>
                <w:color w:val="auto"/>
              </w:rPr>
              <w:t>Virtual webcast:</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Register Here</w:t>
            </w:r>
          </w:p>
        </w:tc>
        <w:tc>
          <w:tcPr>
            <w:tcW w:w="7420" w:type="dxa"/>
            <w:vAlign w:val="bottom"/>
          </w:tcPr>
          <w:p>
            <w:pPr>
              <w:spacing w:after="0"/>
              <w:rPr>
                <w:sz w:val="24"/>
                <w:szCs w:val="24"/>
                <w:color w:val="auto"/>
              </w:rPr>
            </w:pPr>
          </w:p>
        </w:tc>
      </w:tr>
      <w:tr>
        <w:trPr>
          <w:trHeight w:val="438"/>
        </w:trPr>
        <w:tc>
          <w:tcPr>
            <w:tcW w:w="2820" w:type="dxa"/>
            <w:vAlign w:val="bottom"/>
          </w:tcPr>
          <w:p>
            <w:pPr>
              <w:spacing w:after="0"/>
              <w:rPr>
                <w:sz w:val="20"/>
                <w:szCs w:val="20"/>
                <w:color w:val="auto"/>
              </w:rPr>
            </w:pPr>
            <w:r>
              <w:rPr>
                <w:rFonts w:ascii="Arial" w:cs="Arial" w:eastAsia="Arial" w:hAnsi="Arial"/>
                <w:sz w:val="18"/>
                <w:szCs w:val="18"/>
                <w:color w:val="auto"/>
              </w:rPr>
              <w:t>Toll-free dial-in number:</w:t>
            </w:r>
          </w:p>
        </w:tc>
        <w:tc>
          <w:tcPr>
            <w:tcW w:w="8420" w:type="dxa"/>
            <w:vAlign w:val="bottom"/>
            <w:gridSpan w:val="2"/>
          </w:tcPr>
          <w:p>
            <w:pPr>
              <w:spacing w:after="0"/>
              <w:rPr>
                <w:sz w:val="20"/>
                <w:szCs w:val="20"/>
                <w:color w:val="auto"/>
              </w:rPr>
            </w:pPr>
            <w:r>
              <w:rPr>
                <w:rFonts w:ascii="Arial" w:cs="Arial" w:eastAsia="Arial" w:hAnsi="Arial"/>
                <w:sz w:val="18"/>
                <w:szCs w:val="18"/>
                <w:color w:val="auto"/>
              </w:rPr>
              <w:t>(888) 705-0371</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International dial-in number:</w:t>
            </w:r>
          </w:p>
        </w:tc>
        <w:tc>
          <w:tcPr>
            <w:tcW w:w="8420" w:type="dxa"/>
            <w:vAlign w:val="bottom"/>
            <w:gridSpan w:val="2"/>
          </w:tcPr>
          <w:p>
            <w:pPr>
              <w:spacing w:after="0"/>
              <w:rPr>
                <w:sz w:val="20"/>
                <w:szCs w:val="20"/>
                <w:color w:val="auto"/>
              </w:rPr>
            </w:pPr>
            <w:r>
              <w:rPr>
                <w:rFonts w:ascii="Arial" w:cs="Arial" w:eastAsia="Arial" w:hAnsi="Arial"/>
                <w:sz w:val="18"/>
                <w:szCs w:val="18"/>
                <w:color w:val="auto"/>
              </w:rPr>
              <w:t>(929) 517-9005</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Conference ID:</w:t>
            </w:r>
          </w:p>
        </w:tc>
        <w:tc>
          <w:tcPr>
            <w:tcW w:w="1000" w:type="dxa"/>
            <w:vAlign w:val="bottom"/>
          </w:tcPr>
          <w:p>
            <w:pPr>
              <w:spacing w:after="0"/>
              <w:rPr>
                <w:sz w:val="20"/>
                <w:szCs w:val="20"/>
                <w:color w:val="auto"/>
              </w:rPr>
            </w:pPr>
            <w:r>
              <w:rPr>
                <w:rFonts w:ascii="Arial" w:cs="Arial" w:eastAsia="Arial" w:hAnsi="Arial"/>
                <w:sz w:val="18"/>
                <w:szCs w:val="18"/>
                <w:color w:val="auto"/>
              </w:rPr>
              <w:t>7758182</w:t>
            </w:r>
          </w:p>
        </w:tc>
        <w:tc>
          <w:tcPr>
            <w:tcW w:w="7420" w:type="dxa"/>
            <w:vAlign w:val="bottom"/>
          </w:tcPr>
          <w:p>
            <w:pPr>
              <w:spacing w:after="0"/>
              <w:rPr>
                <w:sz w:val="20"/>
                <w:szCs w:val="20"/>
                <w:color w:val="auto"/>
              </w:rPr>
            </w:pPr>
          </w:p>
        </w:tc>
      </w:tr>
      <w:tr>
        <w:trPr>
          <w:trHeight w:val="675"/>
        </w:trPr>
        <w:tc>
          <w:tcPr>
            <w:tcW w:w="2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Please call the conference telephone number 5-10 minutes prior to the start time. An operator will register your name and organization. If you have any difficulty connecting with the conference call, please contact Gateway Investor Relations at (949) 574-3860.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conference call will have a virtual webcast and be available for replay in the ‘Investors’ tab of the Company’s website under ‘Media’ &gt; ‘</w:t>
      </w:r>
      <w:r>
        <w:rPr>
          <w:rFonts w:ascii="Arial" w:cs="Arial" w:eastAsia="Arial" w:hAnsi="Arial"/>
          <w:sz w:val="18"/>
          <w:szCs w:val="18"/>
          <w:u w:val="single" w:color="auto"/>
          <w:color w:val="auto"/>
        </w:rPr>
        <w:t>Events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Presentations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replay of the conference call will also be available after 7:30 p.m. Eastern time on the same day through May 23, 2022, via the information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7758182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Metals Company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More information is available at </w:t>
      </w:r>
      <w:r>
        <w:rPr>
          <w:rFonts w:ascii="Arial" w:cs="Arial" w:eastAsia="Arial" w:hAnsi="Arial"/>
          <w:sz w:val="18"/>
          <w:szCs w:val="18"/>
          <w:u w:val="single" w:color="auto"/>
          <w:color w:val="auto"/>
        </w:rPr>
        <w:t>www.metals.co</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w:t>
      </w:r>
      <w:r>
        <w:rPr>
          <w:rFonts w:ascii="Arial" w:cs="Arial" w:eastAsia="Arial" w:hAnsi="Arial"/>
          <w:sz w:val="18"/>
          <w:szCs w:val="18"/>
          <w:u w:val="single" w:color="auto"/>
          <w:color w:val="auto"/>
        </w:rPr>
        <w:t>investors@metals.co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including related to how long TMC’s cash will fund operations, the potential arrangements with Allseas and Epsilon Carbon, TMC’s planned system tests, including the timing thereof and the timing and content of environmental and operational assessments.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TMC’s ability to obtain exploitation contracts for its areas in the CCZ;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the CCZ and recovery rates of impacted ecosystems; TMC’s ability to develop minerals in sufficient grade or quantities to justify commercial operations; the lack of development of seafloor polymetallic nodule deposit; TMC’s ability to successfully enter into binding agreements with each of Allseas and Epsilon Carbon;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TMC may recover; risks associated with collective, development and processing operations, including with respect to the proposed plant in India and Allseas’ expected development efforts; fluctuations in transportation costs; fluctuations in metals prices; testing and manufacturing of equipment; risks associated with TMC’s limited operating history; the impact of the COVID-19 pandemic; risks associated with TMC’s intellectual property; and other risks and uncertainties, including those under Item 1A “Risk Factors” in TMC’s Annual Report on Form 10-K for the year ended December 31, 2021, filed by TMC with the Securities and Exchange Commission (“SEC”) on March 25, 2022, and in TMC’s other future filings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As at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at</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Cash</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69,048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84,873</w:t>
            </w: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and prepayments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w:t>
            </w:r>
          </w:p>
        </w:tc>
      </w:tr>
      <w:tr>
        <w:trPr>
          <w:trHeight w:val="210"/>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88,559</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Exploration contracts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43,150</w:t>
            </w: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r>
      <w:tr>
        <w:trPr>
          <w:trHeight w:val="209"/>
        </w:trPr>
        <w:tc>
          <w:tcPr>
            <w:tcW w:w="8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44,629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44,566</w:t>
            </w:r>
          </w:p>
        </w:tc>
        <w:tc>
          <w:tcPr>
            <w:tcW w:w="10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133,125</w:t>
            </w:r>
          </w:p>
        </w:tc>
        <w:tc>
          <w:tcPr>
            <w:tcW w:w="100" w:type="dxa"/>
            <w:vAlign w:val="bottom"/>
            <w:shd w:val="clear" w:color="auto" w:fill="CCEEFF"/>
          </w:tcPr>
          <w:p>
            <w:pPr>
              <w:spacing w:after="0"/>
              <w:rPr>
                <w:sz w:val="18"/>
                <w:szCs w:val="18"/>
                <w:color w:val="auto"/>
              </w:rPr>
            </w:pPr>
          </w:p>
        </w:tc>
      </w:tr>
      <w:tr>
        <w:trPr>
          <w:trHeight w:val="210"/>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26,573</w:t>
            </w:r>
          </w:p>
        </w:tc>
      </w:tr>
      <w:tr>
        <w:trPr>
          <w:trHeight w:val="210"/>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26,573</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10,675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10,675</w:t>
            </w: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liability</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w:t>
            </w:r>
          </w:p>
        </w:tc>
      </w:tr>
      <w:tr>
        <w:trPr>
          <w:trHeight w:val="209"/>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36,993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40,374</w:t>
            </w:r>
          </w:p>
        </w:tc>
        <w:tc>
          <w:tcPr>
            <w:tcW w:w="10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 xml:space="preserve">Common shares </w:t>
            </w:r>
            <w:r>
              <w:rPr>
                <w:rFonts w:ascii="Arial" w:cs="Arial" w:eastAsia="Arial" w:hAnsi="Arial"/>
                <w:sz w:val="18"/>
                <w:szCs w:val="18"/>
                <w:i w:val="1"/>
                <w:iCs w:val="1"/>
                <w:color w:val="auto"/>
                <w:w w:val="93"/>
              </w:rPr>
              <w:t>(unlimited shares, no par value – issued: 226,780,843 (December 31, 2021 – 225,432,493))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296,051</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Class A - J Special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107,952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102,073</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(1,216)</w:t>
            </w: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(325,274)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(304,157)</w:t>
            </w:r>
          </w:p>
        </w:tc>
      </w:tr>
      <w:tr>
        <w:trPr>
          <w:trHeight w:val="21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79,725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92,751</w:t>
            </w:r>
          </w:p>
        </w:tc>
        <w:tc>
          <w:tcPr>
            <w:tcW w:w="10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133,125</w:t>
            </w:r>
          </w:p>
        </w:tc>
        <w:tc>
          <w:tcPr>
            <w:tcW w:w="100" w:type="dxa"/>
            <w:vAlign w:val="bottom"/>
            <w:shd w:val="clear" w:color="auto" w:fill="CCEEFF"/>
          </w:tcPr>
          <w:p>
            <w:pPr>
              <w:spacing w:after="0"/>
              <w:rPr>
                <w:sz w:val="18"/>
                <w:szCs w:val="18"/>
                <w:color w:val="auto"/>
              </w:rPr>
            </w:pPr>
          </w:p>
        </w:tc>
      </w:tr>
      <w:tr>
        <w:trPr>
          <w:trHeight w:val="668"/>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Statements of Loss and Comprehensive Loss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of US Dollars, except share and per share amounts)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Exploration and evaluation expenses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General and administrative expenses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5715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4" w:lineRule="exact"/>
        <w:rPr>
          <w:sz w:val="20"/>
          <w:szCs w:val="20"/>
          <w:color w:val="auto"/>
        </w:rPr>
      </w:pPr>
    </w:p>
    <w:p>
      <w:pPr>
        <w:ind w:left="1160" w:hanging="1156"/>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7,343</w:t>
      </w:r>
    </w:p>
    <w:p>
      <w:pPr>
        <w:spacing w:after="0" w:line="46"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8,564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-116205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15,907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29210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303530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(Restated</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p>
      <w:pPr>
        <w:spacing w:after="0" w:line="138" w:lineRule="exact"/>
        <w:rPr>
          <w:sz w:val="20"/>
          <w:szCs w:val="20"/>
          <w:color w:val="auto"/>
        </w:rPr>
      </w:pPr>
    </w:p>
    <w:p>
      <w:pPr>
        <w:ind w:left="1080" w:hanging="107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38,107</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17,364</w:t>
      </w:r>
    </w:p>
    <w:p>
      <w:pPr>
        <w:spacing w:after="0" w:line="45"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b w:val="1"/>
          <w:bCs w:val="1"/>
          <w:color w:val="auto"/>
        </w:rPr>
        <w:t>55,471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9944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472" w:lineRule="exact"/>
        <w:rPr>
          <w:sz w:val="20"/>
          <w:szCs w:val="20"/>
          <w:color w:val="auto"/>
        </w:rPr>
      </w:pPr>
    </w:p>
    <w:p>
      <w:pPr>
        <w:sectPr>
          <w:pgSz w:w="11900" w:h="16838" w:orient="portrait"/>
          <w:cols w:equalWidth="0" w:num="3">
            <w:col w:w="7060" w:space="720"/>
            <w:col w:w="1580" w:space="200"/>
            <w:col w:w="1680"/>
          </w:cols>
          <w:pgMar w:left="320" w:top="904" w:right="339"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fair value of warrants liability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exchange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expense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and comprehensive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 average number of common shares outstanding – 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5,188</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3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439"/>
        </w:trPr>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21,117</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55,710</w:t>
            </w:r>
          </w:p>
        </w:tc>
      </w:tr>
      <w:tr>
        <w:trPr>
          <w:trHeight w:val="20"/>
        </w:trPr>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655"/>
        </w:trPr>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0.09</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0.29</w:t>
            </w:r>
          </w:p>
        </w:tc>
      </w:tr>
      <w:tr>
        <w:trPr>
          <w:trHeight w:val="20"/>
        </w:trPr>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226,075,389</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192,378,436</w:t>
            </w:r>
          </w:p>
        </w:tc>
      </w:tr>
      <w:tr>
        <w:trPr>
          <w:trHeight w:val="20"/>
        </w:trPr>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460"/>
          </w:cols>
          <w:pgMar w:left="320" w:top="904" w:right="339" w:bottom="1440" w:gutter="0" w:footer="0" w:header="0"/>
          <w:type w:val="continuous"/>
        </w:sectPr>
      </w:pPr>
    </w:p>
    <w:p>
      <w:pPr>
        <w:spacing w:after="0" w:line="2" w:lineRule="exact"/>
        <w:rPr>
          <w:sz w:val="20"/>
          <w:szCs w:val="20"/>
          <w:color w:val="auto"/>
        </w:rPr>
      </w:pPr>
    </w:p>
    <w:p>
      <w:pPr>
        <w:ind w:left="340" w:hanging="332"/>
        <w:spacing w:after="0" w:line="19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The condensed consolidated statement of loss and comprehensive loss for the three months ended March 31, 2021 was restated. Refer to the Company’s Quarterly Report on Form 10-Q filed on 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208"/>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Special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4"/>
            <w:vMerge w:val="continue"/>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Paid in</w:t>
            </w:r>
          </w:p>
        </w:tc>
        <w:tc>
          <w:tcPr>
            <w:tcW w:w="122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040" w:type="dxa"/>
            <w:vAlign w:val="bottom"/>
            <w:gridSpan w:val="2"/>
            <w:vMerge w:val="restart"/>
          </w:tcPr>
          <w:p>
            <w:pPr>
              <w:jc w:val="right"/>
              <w:ind w:right="479"/>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2"/>
                <w:szCs w:val="12"/>
                <w:color w:val="auto"/>
              </w:rPr>
            </w:pPr>
          </w:p>
        </w:tc>
        <w:tc>
          <w:tcPr>
            <w:tcW w:w="9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1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225,432,493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296,051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102,073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(304,157)</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92,751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60" w:type="dxa"/>
            <w:vAlign w:val="bottom"/>
            <w:gridSpan w:val="4"/>
          </w:tcPr>
          <w:p>
            <w:pPr>
              <w:spacing w:after="0" w:line="130" w:lineRule="exact"/>
              <w:rPr>
                <w:sz w:val="20"/>
                <w:szCs w:val="20"/>
                <w:color w:val="auto"/>
              </w:rPr>
            </w:pPr>
            <w:r>
              <w:rPr>
                <w:rFonts w:ascii="Arial" w:cs="Arial" w:eastAsia="Arial" w:hAnsi="Arial"/>
                <w:sz w:val="14"/>
                <w:szCs w:val="14"/>
                <w:color w:val="auto"/>
              </w:rPr>
              <w:t>Conversion of restricted share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units, net of shares withheld for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gridSpan w:val="4"/>
          </w:tcPr>
          <w:p>
            <w:pPr>
              <w:ind w:left="200"/>
              <w:spacing w:after="0"/>
              <w:rPr>
                <w:sz w:val="20"/>
                <w:szCs w:val="20"/>
                <w:color w:val="auto"/>
              </w:rPr>
            </w:pPr>
            <w:r>
              <w:rPr>
                <w:rFonts w:ascii="Arial" w:cs="Arial" w:eastAsia="Arial" w:hAnsi="Arial"/>
                <w:sz w:val="14"/>
                <w:szCs w:val="14"/>
                <w:color w:val="auto"/>
              </w:rPr>
              <w:t>taxes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1,348,350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2,212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(2,290)</w:t>
            </w:r>
          </w:p>
        </w:tc>
        <w:tc>
          <w:tcPr>
            <w:tcW w:w="80" w:type="dxa"/>
            <w:vAlign w:val="bottom"/>
          </w:tcPr>
          <w:p>
            <w:pPr>
              <w:spacing w:after="0"/>
              <w:rPr>
                <w:sz w:val="14"/>
                <w:szCs w:val="14"/>
                <w:color w:val="auto"/>
              </w:rPr>
            </w:pPr>
          </w:p>
        </w:tc>
        <w:tc>
          <w:tcPr>
            <w:tcW w:w="11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8"/>
        </w:trPr>
        <w:tc>
          <w:tcPr>
            <w:tcW w:w="21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8,124</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60" w:type="dxa"/>
            <w:vAlign w:val="bottom"/>
            <w:gridSpan w:val="4"/>
          </w:tcPr>
          <w:p>
            <w:pPr>
              <w:spacing w:after="0" w:line="130" w:lineRule="exact"/>
              <w:rPr>
                <w:sz w:val="20"/>
                <w:szCs w:val="20"/>
                <w:color w:val="auto"/>
              </w:rPr>
            </w:pPr>
            <w:r>
              <w:rPr>
                <w:rFonts w:ascii="Arial" w:cs="Arial" w:eastAsia="Arial" w:hAnsi="Arial"/>
                <w:sz w:val="14"/>
                <w:szCs w:val="14"/>
                <w:color w:val="auto"/>
              </w:rPr>
              <w:t>Expenses to be settled in share-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4"/>
          </w:tcPr>
          <w:p>
            <w:pPr>
              <w:ind w:left="200"/>
              <w:spacing w:after="0"/>
              <w:rPr>
                <w:sz w:val="20"/>
                <w:szCs w:val="20"/>
                <w:color w:val="auto"/>
              </w:rPr>
            </w:pPr>
            <w:r>
              <w:rPr>
                <w:rFonts w:ascii="Arial" w:cs="Arial" w:eastAsia="Arial" w:hAnsi="Arial"/>
                <w:sz w:val="14"/>
                <w:szCs w:val="14"/>
                <w:color w:val="auto"/>
              </w:rPr>
              <w:t>based payments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4"/>
                <w:szCs w:val="14"/>
                <w:color w:val="auto"/>
              </w:rPr>
            </w:pPr>
          </w:p>
        </w:tc>
        <w:tc>
          <w:tcPr>
            <w:tcW w:w="11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Loss for the period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(21,117)</w:t>
            </w:r>
          </w:p>
        </w:tc>
        <w:tc>
          <w:tcPr>
            <w:tcW w:w="2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(21,117)</w:t>
            </w:r>
          </w:p>
        </w:tc>
        <w:tc>
          <w:tcPr>
            <w:tcW w:w="0" w:type="dxa"/>
            <w:vAlign w:val="bottom"/>
          </w:tcPr>
          <w:p>
            <w:pPr>
              <w:spacing w:after="0"/>
              <w:rPr>
                <w:sz w:val="1"/>
                <w:szCs w:val="1"/>
                <w:color w:val="auto"/>
              </w:rPr>
            </w:pPr>
          </w:p>
        </w:tc>
      </w:tr>
      <w:tr>
        <w:trPr>
          <w:trHeight w:val="142"/>
        </w:trPr>
        <w:tc>
          <w:tcPr>
            <w:tcW w:w="21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31, 2022</w:t>
            </w: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226,780,843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298,263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107,952</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84"/>
              </w:rPr>
              <w:t>)</w:t>
            </w: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(325,274</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79,725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vMerge w:val="restart"/>
          </w:tcPr>
          <w:p>
            <w:pPr>
              <w:jc w:val="center"/>
              <w:ind w:right="208"/>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Three months ended March</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Preferred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Special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4"/>
            <w:vMerge w:val="continue"/>
          </w:tcPr>
          <w:p>
            <w:pPr>
              <w:spacing w:after="0"/>
              <w:rPr>
                <w:sz w:val="12"/>
                <w:szCs w:val="12"/>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Paid in</w:t>
            </w:r>
          </w:p>
        </w:tc>
        <w:tc>
          <w:tcPr>
            <w:tcW w:w="1220" w:type="dxa"/>
            <w:vAlign w:val="bottom"/>
            <w:gridSpan w:val="3"/>
          </w:tcPr>
          <w:p>
            <w:pPr>
              <w:jc w:val="center"/>
              <w:ind w:right="148"/>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Deficit</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20" w:type="dxa"/>
            <w:vAlign w:val="bottom"/>
            <w:tcBorders>
              <w:bottom w:val="single" w:sz="8" w:color="auto"/>
            </w:tcBorders>
          </w:tcPr>
          <w:p>
            <w:pPr>
              <w:spacing w:after="0" w:line="176" w:lineRule="exact"/>
              <w:rPr>
                <w:sz w:val="20"/>
                <w:szCs w:val="20"/>
                <w:color w:val="auto"/>
              </w:rPr>
            </w:pPr>
            <w:r>
              <w:rPr>
                <w:rFonts w:ascii="Arial" w:cs="Arial" w:eastAsia="Arial" w:hAnsi="Arial"/>
                <w:sz w:val="13"/>
                <w:szCs w:val="13"/>
                <w:b w:val="1"/>
                <w:bCs w:val="1"/>
                <w:color w:val="auto"/>
              </w:rPr>
              <w:t>31, 2021 Restated</w:t>
            </w:r>
            <w:r>
              <w:rPr>
                <w:rFonts w:ascii="Arial" w:cs="Arial" w:eastAsia="Arial" w:hAnsi="Arial"/>
                <w:sz w:val="20"/>
                <w:szCs w:val="20"/>
                <w:b w:val="1"/>
                <w:bCs w:val="1"/>
                <w:color w:val="auto"/>
                <w:vertAlign w:val="superscript"/>
              </w:rPr>
              <w:t>1</w:t>
            </w:r>
          </w:p>
        </w:tc>
        <w:tc>
          <w:tcPr>
            <w:tcW w:w="14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CEEFF"/>
            </w:tcBorders>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6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189,493,593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154,431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45,347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(1,216)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(162,858)</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36,254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60" w:type="dxa"/>
            <w:vAlign w:val="bottom"/>
            <w:gridSpan w:val="4"/>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2,148,990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2,542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Common shares to be issued for</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exploration and evaluation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expenses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4,245,031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25,664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12,785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gridSpan w:val="4"/>
          </w:tcPr>
          <w:p>
            <w:pPr>
              <w:spacing w:after="0" w:line="149" w:lineRule="exact"/>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30,425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30,425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6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Common shares to be issued for</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stock options exercise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gridSpan w:val="4"/>
          </w:tcPr>
          <w:p>
            <w:pPr>
              <w:spacing w:after="0" w:line="149" w:lineRule="exact"/>
              <w:rPr>
                <w:sz w:val="20"/>
                <w:szCs w:val="20"/>
                <w:color w:val="auto"/>
              </w:rPr>
            </w:pPr>
            <w:r>
              <w:rPr>
                <w:rFonts w:ascii="Arial" w:cs="Arial" w:eastAsia="Arial" w:hAnsi="Arial"/>
                <w:sz w:val="14"/>
                <w:szCs w:val="14"/>
                <w:color w:val="auto"/>
              </w:rPr>
              <w:t>Conversion of debentures</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57,894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Loss for the period</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(55,710)</w:t>
            </w:r>
          </w:p>
        </w:tc>
        <w:tc>
          <w:tcPr>
            <w:tcW w:w="2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(55,710)</w:t>
            </w:r>
          </w:p>
        </w:tc>
        <w:tc>
          <w:tcPr>
            <w:tcW w:w="0" w:type="dxa"/>
            <w:vAlign w:val="bottom"/>
          </w:tcPr>
          <w:p>
            <w:pPr>
              <w:spacing w:after="0"/>
              <w:rPr>
                <w:sz w:val="1"/>
                <w:szCs w:val="1"/>
                <w:color w:val="auto"/>
              </w:rPr>
            </w:pPr>
          </w:p>
        </w:tc>
      </w:tr>
      <w:tr>
        <w:trPr>
          <w:trHeight w:val="142"/>
        </w:trPr>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2021</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195,945,508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183,137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w w:val="83"/>
              </w:rPr>
              <w:t>61,728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84"/>
              </w:rPr>
              <w:t>)</w:t>
            </w: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(218,568</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25,631</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hanging="652"/>
        <w:spacing w:after="0" w:line="253" w:lineRule="auto"/>
        <w:tabs>
          <w:tab w:leader="none" w:pos="660" w:val="left"/>
        </w:tabs>
        <w:numPr>
          <w:ilvl w:val="0"/>
          <w:numId w:val="11"/>
        </w:numPr>
        <w:rPr>
          <w:rFonts w:ascii="Arial" w:cs="Arial" w:eastAsia="Arial" w:hAnsi="Arial"/>
          <w:sz w:val="12"/>
          <w:szCs w:val="12"/>
          <w:color w:val="auto"/>
        </w:rPr>
      </w:pPr>
      <w:r>
        <w:rPr>
          <w:rFonts w:ascii="Arial" w:cs="Arial" w:eastAsia="Arial" w:hAnsi="Arial"/>
          <w:sz w:val="14"/>
          <w:szCs w:val="14"/>
          <w:color w:val="auto"/>
        </w:rPr>
        <w:t>The condensed consolidated statement of changes in equity for the three months ended March 31, 2021 was restated. Refer to the Company’s Quarterly Report on Form 10-Q filed on 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3" w:lineRule="exact"/>
        <w:rPr>
          <w:sz w:val="20"/>
          <w:szCs w:val="20"/>
          <w:color w:val="auto"/>
        </w:rPr>
      </w:pPr>
    </w:p>
    <w:p>
      <w:pPr>
        <w:jc w:val="center"/>
        <w:ind w:left="778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line="226" w:lineRule="auto"/>
        <w:rPr>
          <w:sz w:val="20"/>
          <w:szCs w:val="20"/>
          <w:color w:val="auto"/>
        </w:rPr>
      </w:pPr>
      <w:r>
        <w:rPr>
          <w:rFonts w:ascii="Arial" w:cs="Arial" w:eastAsia="Arial" w:hAnsi="Arial"/>
          <w:sz w:val="18"/>
          <w:szCs w:val="18"/>
          <w:b w:val="1"/>
          <w:bCs w:val="1"/>
          <w:color w:val="auto"/>
        </w:rPr>
        <w:t>Three months ended March 31, 2021 (Restated</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p>
      <w:pPr>
        <w:spacing w:after="0" w:line="3" w:lineRule="exact"/>
        <w:rPr>
          <w:sz w:val="20"/>
          <w:szCs w:val="20"/>
          <w:color w:val="auto"/>
        </w:rPr>
      </w:pPr>
    </w:p>
    <w:p>
      <w:pPr>
        <w:sectPr>
          <w:pgSz w:w="11900" w:h="16838" w:orient="portrait"/>
          <w:cols w:equalWidth="0" w:num="2">
            <w:col w:w="9360" w:space="200"/>
            <w:col w:w="168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09"/>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Loss for the period</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(21,117)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(55,710)</w:t>
            </w: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not affecting cash:</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ind w:left="26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Expenses settled with share-based payments</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6,393</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43,211</w:t>
            </w:r>
          </w:p>
        </w:tc>
      </w:tr>
      <w:tr>
        <w:trPr>
          <w:trHeight w:val="216"/>
        </w:trPr>
        <w:tc>
          <w:tcPr>
            <w:tcW w:w="7780" w:type="dxa"/>
            <w:vAlign w:val="bottom"/>
          </w:tcPr>
          <w:p>
            <w:pPr>
              <w:ind w:left="260"/>
              <w:spacing w:after="0"/>
              <w:rPr>
                <w:sz w:val="20"/>
                <w:szCs w:val="20"/>
                <w:color w:val="auto"/>
              </w:rPr>
            </w:pPr>
            <w:r>
              <w:rPr>
                <w:rFonts w:ascii="Arial" w:cs="Arial" w:eastAsia="Arial" w:hAnsi="Arial"/>
                <w:sz w:val="18"/>
                <w:szCs w:val="18"/>
                <w:color w:val="auto"/>
              </w:rPr>
              <w:t>Expenses to be settled with share-based payments</w:t>
            </w:r>
          </w:p>
        </w:tc>
        <w:tc>
          <w:tcPr>
            <w:tcW w:w="5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on convertible debentures</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778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liability</w:t>
            </w:r>
          </w:p>
        </w:tc>
        <w:tc>
          <w:tcPr>
            <w:tcW w:w="5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5,188</w:t>
            </w: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foreign exchange</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Changes in working capital:</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and prepayments</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5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(6,744)</w:t>
            </w: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2,114</w:t>
            </w:r>
          </w:p>
        </w:tc>
      </w:tr>
      <w:tr>
        <w:trPr>
          <w:trHeight w:val="209"/>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(15,529)</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Settlement of deferred acquisition costs</w:t>
            </w:r>
          </w:p>
        </w:tc>
        <w:tc>
          <w:tcPr>
            <w:tcW w:w="5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(2,190)</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equipment</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5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7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(2,190)</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Proceeds from issuance of convertible debentures</w:t>
            </w:r>
          </w:p>
        </w:tc>
        <w:tc>
          <w:tcPr>
            <w:tcW w:w="5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26,000</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Taxes withheld and paid on share-based compensation</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5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780" w:type="dxa"/>
            <w:vAlign w:val="bottom"/>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27,377</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(Decrease) increase in cash</w:t>
            </w:r>
          </w:p>
        </w:tc>
        <w:tc>
          <w:tcPr>
            <w:tcW w:w="5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(15,817)</w:t>
            </w: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15,127</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Impact of exchange rate changes on cash</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r>
      <w:tr>
        <w:trPr>
          <w:trHeight w:val="230"/>
        </w:trPr>
        <w:tc>
          <w:tcPr>
            <w:tcW w:w="7780" w:type="dxa"/>
            <w:vAlign w:val="bottom"/>
          </w:tcPr>
          <w:p>
            <w:pPr>
              <w:spacing w:after="0"/>
              <w:rPr>
                <w:sz w:val="20"/>
                <w:szCs w:val="20"/>
                <w:color w:val="auto"/>
              </w:rPr>
            </w:pPr>
            <w:r>
              <w:rPr>
                <w:rFonts w:ascii="Arial" w:cs="Arial" w:eastAsia="Arial" w:hAnsi="Arial"/>
                <w:sz w:val="18"/>
                <w:szCs w:val="18"/>
                <w:b w:val="1"/>
                <w:bCs w:val="1"/>
                <w:color w:val="auto"/>
              </w:rPr>
              <w:t>Cash - beginning of period</w:t>
            </w:r>
          </w:p>
        </w:tc>
        <w:tc>
          <w:tcPr>
            <w:tcW w:w="5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84,873</w:t>
            </w: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10,096</w:t>
            </w: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69,048</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25,224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The condensed consolidated statement of cash flows for the three months ended March 31, 2021 was restated. Refer to the Company’s Quarterly Report on Form 10-Q filed on 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2022-05-09T15:23:59Z</dcterms:created>
  <dcterms:modified xsi:type="dcterms:W3CDTF">2022-05-09T15:23:59Z</dcterms:modified>
</cp:coreProperties>
</file>