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31, 2022</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173355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138430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139065</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TMC the metals company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138430</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1620" w:type="dxa"/>
        <w:tblCellMar>
          <w:top w:w="0" w:type="dxa"/>
          <w:left w:w="0" w:type="dxa"/>
          <w:bottom w:w="0" w:type="dxa"/>
          <w:right w:w="0" w:type="dxa"/>
        </w:tblCellMar>
      </w:tblPr>
      <w:tr>
        <w:trPr>
          <w:trHeight w:val="217"/>
        </w:trPr>
        <w:tc>
          <w:tcPr>
            <w:tcW w:w="4120" w:type="dxa"/>
            <w:vAlign w:val="bottom"/>
          </w:tcPr>
          <w:p>
            <w:pPr>
              <w:jc w:val="center"/>
              <w:ind w:right="1911"/>
              <w:spacing w:after="0"/>
              <w:rPr>
                <w:sz w:val="20"/>
                <w:szCs w:val="20"/>
                <w:color w:val="auto"/>
              </w:rPr>
            </w:pPr>
            <w:r>
              <w:rPr>
                <w:rFonts w:ascii="Times New Roman" w:cs="Times New Roman" w:eastAsia="Times New Roman" w:hAnsi="Times New Roman"/>
                <w:sz w:val="18"/>
                <w:szCs w:val="18"/>
                <w:b w:val="1"/>
                <w:bCs w:val="1"/>
                <w:color w:val="auto"/>
                <w:w w:val="98"/>
              </w:rPr>
              <w:t>British Columbia, Canada</w:t>
            </w:r>
          </w:p>
        </w:tc>
        <w:tc>
          <w:tcPr>
            <w:tcW w:w="3300" w:type="dxa"/>
            <w:vAlign w:val="bottom"/>
          </w:tcPr>
          <w:p>
            <w:pPr>
              <w:jc w:val="center"/>
              <w:ind w:left="187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3"/>
        </w:trPr>
        <w:tc>
          <w:tcPr>
            <w:tcW w:w="4120" w:type="dxa"/>
            <w:vAlign w:val="bottom"/>
          </w:tcPr>
          <w:p>
            <w:pPr>
              <w:jc w:val="center"/>
              <w:ind w:right="1891"/>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3300" w:type="dxa"/>
            <w:vAlign w:val="bottom"/>
          </w:tcPr>
          <w:p>
            <w:pPr>
              <w:jc w:val="center"/>
              <w:ind w:left="189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4120" w:type="dxa"/>
            <w:vAlign w:val="bottom"/>
          </w:tcPr>
          <w:p>
            <w:pPr>
              <w:jc w:val="center"/>
              <w:ind w:right="189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300" w:type="dxa"/>
            <w:vAlign w:val="bottom"/>
          </w:tcPr>
          <w:p>
            <w:pPr>
              <w:jc w:val="center"/>
              <w:ind w:left="1891"/>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V6C 2T5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(574) 252-9333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Equity Plan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19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40"/>
        <w:spacing w:after="0" w:line="204"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221-0102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L. Fantozzi,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T. Kajunski,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 MA 02111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139065</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3"/>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74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279"/>
        </w:trPr>
        <w:tc>
          <w:tcPr>
            <w:tcW w:w="1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74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17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150495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447040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4" w:lineRule="exact"/>
        <w:rPr>
          <w:sz w:val="20"/>
          <w:szCs w:val="20"/>
          <w:color w:val="auto"/>
        </w:rPr>
      </w:pPr>
    </w:p>
    <w:p>
      <w:pPr>
        <w:jc w:val="both"/>
        <w:ind w:firstLine="640"/>
        <w:spacing w:after="0" w:line="262" w:lineRule="auto"/>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This Registration Statement registers additional securities of the same class as other securities for which the registration statement filed on </w:t>
        </w:r>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(SEC File No. 333-261221)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Registrant is effective. The information contained in the Registrant’s registration statement on Form S-8 (SEC File No.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333-261221) is hereby incorporated by reference pursuant to General Instruction E of Form S-8.</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10"/>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SEC File/</w:t>
            </w:r>
          </w:p>
        </w:tc>
      </w:tr>
      <w:tr>
        <w:trPr>
          <w:trHeight w:val="213"/>
        </w:trPr>
        <w:tc>
          <w:tcPr>
            <w:tcW w:w="16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herein from</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Reg.</w:t>
            </w:r>
          </w:p>
        </w:tc>
      </w:tr>
      <w:tr>
        <w:trPr>
          <w:trHeight w:val="236"/>
        </w:trPr>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100" w:type="dxa"/>
            <w:vAlign w:val="bottom"/>
          </w:tcPr>
          <w:p>
            <w:pPr>
              <w:spacing w:after="0"/>
              <w:rPr>
                <w:sz w:val="20"/>
                <w:szCs w:val="20"/>
                <w:color w:val="auto"/>
              </w:rPr>
            </w:pPr>
          </w:p>
        </w:tc>
        <w:tc>
          <w:tcPr>
            <w:tcW w:w="15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 or Schedule</w:t>
            </w:r>
          </w:p>
        </w:tc>
        <w:tc>
          <w:tcPr>
            <w:tcW w:w="120" w:type="dxa"/>
            <w:vAlign w:val="bottom"/>
          </w:tcPr>
          <w:p>
            <w:pPr>
              <w:spacing w:after="0"/>
              <w:rPr>
                <w:sz w:val="20"/>
                <w:szCs w:val="20"/>
                <w:color w:val="auto"/>
              </w:rPr>
            </w:pPr>
          </w:p>
        </w:tc>
        <w:tc>
          <w:tcPr>
            <w:tcW w:w="11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380"/>
        </w:trPr>
        <w:tc>
          <w:tcPr>
            <w:tcW w:w="620" w:type="dxa"/>
            <w:vAlign w:val="bottom"/>
          </w:tcPr>
          <w:p>
            <w:pPr>
              <w:spacing w:after="0"/>
              <w:rPr>
                <w:sz w:val="24"/>
                <w:szCs w:val="24"/>
                <w:color w:val="auto"/>
              </w:rPr>
            </w:pPr>
          </w:p>
        </w:tc>
        <w:tc>
          <w:tcPr>
            <w:tcW w:w="240" w:type="dxa"/>
            <w:vAlign w:val="bottom"/>
          </w:tcPr>
          <w:p>
            <w:pPr>
              <w:jc w:val="cente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8"/>
          </w:tcPr>
          <w:p>
            <w:pPr>
              <w:spacing w:after="0"/>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Notice of Articles of TMC the metals company Inc.</w:t>
              </w:r>
            </w:hyperlink>
          </w:p>
        </w:tc>
        <w:tc>
          <w:tcPr>
            <w:tcW w:w="94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rFonts w:ascii="Times New Roman" w:cs="Times New Roman" w:eastAsia="Times New Roman" w:hAnsi="Times New Roman"/>
                <w:sz w:val="18"/>
                <w:szCs w:val="18"/>
                <w:color w:val="0000EE"/>
                <w:w w:val="95"/>
              </w:rPr>
            </w:pPr>
            <w:hyperlink r:id="rId18">
              <w:r>
                <w:rPr>
                  <w:rFonts w:ascii="Times New Roman" w:cs="Times New Roman" w:eastAsia="Times New Roman" w:hAnsi="Times New Roman"/>
                  <w:sz w:val="18"/>
                  <w:szCs w:val="18"/>
                  <w:color w:val="0000EE"/>
                  <w:w w:val="95"/>
                </w:rPr>
                <w:t>Form 8-K</w:t>
              </w:r>
            </w:hyperlink>
          </w:p>
        </w:tc>
        <w:tc>
          <w:tcPr>
            <w:tcW w:w="560" w:type="dxa"/>
            <w:vAlign w:val="bottom"/>
            <w:gridSpan w:val="5"/>
          </w:tcPr>
          <w:p>
            <w:pPr>
              <w:spacing w:after="0"/>
              <w:rPr>
                <w:sz w:val="24"/>
                <w:szCs w:val="24"/>
                <w:color w:val="auto"/>
              </w:rPr>
            </w:pPr>
          </w:p>
        </w:tc>
        <w:tc>
          <w:tcPr>
            <w:tcW w:w="920" w:type="dxa"/>
            <w:vAlign w:val="bottom"/>
            <w:gridSpan w:val="2"/>
          </w:tcPr>
          <w:p>
            <w:pPr>
              <w:jc w:val="center"/>
              <w:ind w:left="111"/>
              <w:spacing w:after="0"/>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91"/>
              <w:spacing w:after="0"/>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0000EE"/>
            </w:tcBorders>
            <w:gridSpan w:val="3"/>
          </w:tcPr>
          <w:p>
            <w:pPr>
              <w:jc w:val="center"/>
              <w:spacing w:after="0" w:line="194" w:lineRule="exact"/>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(Exhibit 3.1)</w:t>
              </w:r>
            </w:hyperlink>
          </w:p>
        </w:tc>
        <w:tc>
          <w:tcPr>
            <w:tcW w:w="44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07"/>
        </w:trPr>
        <w:tc>
          <w:tcPr>
            <w:tcW w:w="620" w:type="dxa"/>
            <w:vAlign w:val="bottom"/>
          </w:tcPr>
          <w:p>
            <w:pPr>
              <w:spacing w:after="0"/>
              <w:rPr>
                <w:sz w:val="24"/>
                <w:szCs w:val="24"/>
                <w:color w:val="auto"/>
              </w:rPr>
            </w:pPr>
          </w:p>
        </w:tc>
        <w:tc>
          <w:tcPr>
            <w:tcW w:w="240" w:type="dxa"/>
            <w:vAlign w:val="bottom"/>
          </w:tcPr>
          <w:p>
            <w:pPr>
              <w:jc w:val="cente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3"/>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Articles of TMC the metals company Inc.</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6"/>
          </w:tcPr>
          <w:p>
            <w:pPr>
              <w:jc w:val="center"/>
              <w:ind w:right="540"/>
              <w:spacing w:after="0"/>
              <w:rPr>
                <w:rFonts w:ascii="Times New Roman" w:cs="Times New Roman" w:eastAsia="Times New Roman" w:hAnsi="Times New Roman"/>
                <w:sz w:val="18"/>
                <w:szCs w:val="18"/>
                <w:color w:val="0000EE"/>
                <w:w w:val="95"/>
              </w:rPr>
            </w:pPr>
            <w:hyperlink r:id="rId19">
              <w:r>
                <w:rPr>
                  <w:rFonts w:ascii="Times New Roman" w:cs="Times New Roman" w:eastAsia="Times New Roman" w:hAnsi="Times New Roman"/>
                  <w:sz w:val="18"/>
                  <w:szCs w:val="18"/>
                  <w:color w:val="0000EE"/>
                  <w:w w:val="95"/>
                </w:rPr>
                <w:t>Form 8-K</w:t>
              </w:r>
            </w:hyperlink>
          </w:p>
        </w:tc>
        <w:tc>
          <w:tcPr>
            <w:tcW w:w="920" w:type="dxa"/>
            <w:vAlign w:val="bottom"/>
            <w:gridSpan w:val="2"/>
          </w:tcPr>
          <w:p>
            <w:pPr>
              <w:jc w:val="center"/>
              <w:ind w:left="111"/>
              <w:spacing w:after="0"/>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91"/>
              <w:spacing w:after="0"/>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0000EE"/>
            </w:tcBorders>
            <w:gridSpan w:val="3"/>
          </w:tcPr>
          <w:p>
            <w:pPr>
              <w:jc w:val="center"/>
              <w:spacing w:after="0" w:line="194" w:lineRule="exact"/>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(Exhibit 3.2)</w:t>
              </w:r>
            </w:hyperlink>
          </w:p>
        </w:tc>
        <w:tc>
          <w:tcPr>
            <w:tcW w:w="44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07"/>
        </w:trPr>
        <w:tc>
          <w:tcPr>
            <w:tcW w:w="620" w:type="dxa"/>
            <w:vAlign w:val="bottom"/>
          </w:tcPr>
          <w:p>
            <w:pPr>
              <w:spacing w:after="0"/>
              <w:rPr>
                <w:sz w:val="24"/>
                <w:szCs w:val="24"/>
                <w:color w:val="auto"/>
              </w:rPr>
            </w:pPr>
          </w:p>
        </w:tc>
        <w:tc>
          <w:tcPr>
            <w:tcW w:w="240" w:type="dxa"/>
            <w:vAlign w:val="bottom"/>
          </w:tcPr>
          <w:p>
            <w:pPr>
              <w:jc w:val="cente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gridSpan w:val="10"/>
          </w:tcPr>
          <w:p>
            <w:pPr>
              <w:spacing w:after="0"/>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TMC the metals company Inc. Common Share Certificate</w:t>
              </w:r>
            </w:hyperlink>
          </w:p>
        </w:tc>
        <w:tc>
          <w:tcPr>
            <w:tcW w:w="50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Form 8-K</w:t>
              </w:r>
            </w:hyperlink>
          </w:p>
        </w:tc>
        <w:tc>
          <w:tcPr>
            <w:tcW w:w="560" w:type="dxa"/>
            <w:vAlign w:val="bottom"/>
            <w:gridSpan w:val="5"/>
          </w:tcPr>
          <w:p>
            <w:pPr>
              <w:spacing w:after="0"/>
              <w:rPr>
                <w:sz w:val="24"/>
                <w:szCs w:val="24"/>
                <w:color w:val="auto"/>
              </w:rPr>
            </w:pPr>
          </w:p>
        </w:tc>
        <w:tc>
          <w:tcPr>
            <w:tcW w:w="920" w:type="dxa"/>
            <w:vAlign w:val="bottom"/>
            <w:gridSpan w:val="2"/>
          </w:tcPr>
          <w:p>
            <w:pPr>
              <w:jc w:val="center"/>
              <w:ind w:left="111"/>
              <w:spacing w:after="0"/>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91"/>
              <w:spacing w:after="0"/>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7"/>
          </w:tcPr>
          <w:p>
            <w:pPr>
              <w:jc w:val="center"/>
              <w:ind w:right="440"/>
              <w:spacing w:after="0" w:line="194" w:lineRule="exact"/>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(Exhibit 4.1)</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07"/>
        </w:trPr>
        <w:tc>
          <w:tcPr>
            <w:tcW w:w="62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 xml:space="preserve">Opinion of </w:t>
            </w:r>
            <w:r>
              <w:rPr>
                <w:rFonts w:ascii="Times New Roman" w:cs="Times New Roman" w:eastAsia="Times New Roman" w:hAnsi="Times New Roman"/>
                <w:sz w:val="18"/>
                <w:szCs w:val="18"/>
                <w:color w:val="0000EE"/>
                <w:highlight w:val="white"/>
              </w:rPr>
              <w:t>Fasken Martineau DuMoulin LLP</w:t>
            </w:r>
          </w:p>
        </w:tc>
        <w:tc>
          <w:tcPr>
            <w:tcW w:w="380" w:type="dxa"/>
            <w:vAlign w:val="bottom"/>
          </w:tcPr>
          <w:p>
            <w:pPr>
              <w:spacing w:after="0"/>
              <w:rPr>
                <w:sz w:val="24"/>
                <w:szCs w:val="24"/>
                <w:color w:val="auto"/>
              </w:rPr>
            </w:pPr>
          </w:p>
        </w:tc>
        <w:tc>
          <w:tcPr>
            <w:tcW w:w="6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0000EE"/>
                <w:w w:val="91"/>
              </w:rPr>
              <w:t>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7"/>
        </w:trPr>
        <w:tc>
          <w:tcPr>
            <w:tcW w:w="62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7"/>
              </w:rPr>
              <w:t>Consent of Ernst &amp; Young LLP independent registered public</w:t>
            </w:r>
          </w:p>
        </w:tc>
        <w:tc>
          <w:tcPr>
            <w:tcW w:w="2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0000EE"/>
                <w:w w:val="91"/>
              </w:rPr>
              <w:t>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3"/>
        </w:trPr>
        <w:tc>
          <w:tcPr>
            <w:tcW w:w="62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Borders>
              <w:top w:val="single" w:sz="8" w:color="0000EE"/>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accounting firm of TMC the metals company Inc.</w:t>
            </w:r>
          </w:p>
        </w:tc>
        <w:tc>
          <w:tcPr>
            <w:tcW w:w="860" w:type="dxa"/>
            <w:vAlign w:val="bottom"/>
            <w:tcBorders>
              <w:top w:val="single" w:sz="8" w:color="0000EE"/>
            </w:tcBorders>
            <w:gridSpan w:val="4"/>
          </w:tcPr>
          <w:p>
            <w:pPr>
              <w:spacing w:after="0"/>
              <w:rPr>
                <w:sz w:val="16"/>
                <w:szCs w:val="16"/>
                <w:color w:val="auto"/>
              </w:rPr>
            </w:pPr>
          </w:p>
        </w:tc>
        <w:tc>
          <w:tcPr>
            <w:tcW w:w="22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07"/>
        </w:trPr>
        <w:tc>
          <w:tcPr>
            <w:tcW w:w="62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 xml:space="preserve">Consent of </w:t>
            </w:r>
            <w:r>
              <w:rPr>
                <w:rFonts w:ascii="Times New Roman" w:cs="Times New Roman" w:eastAsia="Times New Roman" w:hAnsi="Times New Roman"/>
                <w:sz w:val="18"/>
                <w:szCs w:val="18"/>
                <w:color w:val="0000EE"/>
                <w:highlight w:val="white"/>
              </w:rPr>
              <w:t>Fasken Martineau DuMoulin LLP</w:t>
            </w:r>
            <w:r>
              <w:rPr>
                <w:rFonts w:ascii="Times New Roman" w:cs="Times New Roman" w:eastAsia="Times New Roman" w:hAnsi="Times New Roman"/>
                <w:sz w:val="18"/>
                <w:szCs w:val="18"/>
                <w:color w:val="0000EE"/>
              </w:rPr>
              <w:t xml:space="preserve"> (included in</w:t>
            </w:r>
          </w:p>
        </w:tc>
        <w:tc>
          <w:tcPr>
            <w:tcW w:w="380" w:type="dxa"/>
            <w:vAlign w:val="bottom"/>
          </w:tcPr>
          <w:p>
            <w:pPr>
              <w:spacing w:after="0"/>
              <w:rPr>
                <w:sz w:val="24"/>
                <w:szCs w:val="24"/>
                <w:color w:val="auto"/>
              </w:rPr>
            </w:pPr>
          </w:p>
        </w:tc>
        <w:tc>
          <w:tcPr>
            <w:tcW w:w="6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0000EE"/>
                <w:w w:val="91"/>
              </w:rPr>
              <w:t>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Exhibit 5.1)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7"/>
        </w:trPr>
        <w:tc>
          <w:tcPr>
            <w:tcW w:w="62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6"/>
              </w:rPr>
              <w:t>Power of Attorney (included on the signature page hereof)</w:t>
            </w:r>
          </w:p>
        </w:tc>
        <w:tc>
          <w:tcPr>
            <w:tcW w:w="50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0000EE"/>
                <w:w w:val="91"/>
              </w:rPr>
              <w:t>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7"/>
        </w:trPr>
        <w:tc>
          <w:tcPr>
            <w:tcW w:w="1480" w:type="dxa"/>
            <w:vAlign w:val="bottom"/>
            <w:gridSpan w:val="4"/>
          </w:tcPr>
          <w:p>
            <w:pPr>
              <w:jc w:val="center"/>
              <w:spacing w:after="0"/>
              <w:rPr>
                <w:rFonts w:ascii="Times New Roman" w:cs="Times New Roman" w:eastAsia="Times New Roman" w:hAnsi="Times New Roman"/>
                <w:sz w:val="18"/>
                <w:szCs w:val="18"/>
                <w:color w:val="0000EE"/>
                <w:w w:val="95"/>
              </w:rPr>
            </w:pPr>
            <w:hyperlink r:id="rId21">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120" w:type="dxa"/>
            <w:vAlign w:val="bottom"/>
          </w:tcPr>
          <w:p>
            <w:pPr>
              <w:spacing w:after="0"/>
              <w:rPr>
                <w:sz w:val="24"/>
                <w:szCs w:val="24"/>
                <w:color w:val="auto"/>
              </w:rPr>
            </w:pPr>
          </w:p>
        </w:tc>
        <w:tc>
          <w:tcPr>
            <w:tcW w:w="4620" w:type="dxa"/>
            <w:vAlign w:val="bottom"/>
            <w:gridSpan w:val="13"/>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TMC the metals company Inc. 2021 Incentive Equity Plan</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6"/>
          </w:tcPr>
          <w:p>
            <w:pPr>
              <w:jc w:val="center"/>
              <w:ind w:right="540"/>
              <w:spacing w:after="0"/>
              <w:rPr>
                <w:rFonts w:ascii="Times New Roman" w:cs="Times New Roman" w:eastAsia="Times New Roman" w:hAnsi="Times New Roman"/>
                <w:sz w:val="18"/>
                <w:szCs w:val="18"/>
                <w:color w:val="0000EE"/>
                <w:w w:val="95"/>
              </w:rPr>
            </w:pPr>
            <w:hyperlink r:id="rId21">
              <w:r>
                <w:rPr>
                  <w:rFonts w:ascii="Times New Roman" w:cs="Times New Roman" w:eastAsia="Times New Roman" w:hAnsi="Times New Roman"/>
                  <w:sz w:val="18"/>
                  <w:szCs w:val="18"/>
                  <w:color w:val="0000EE"/>
                  <w:w w:val="95"/>
                </w:rPr>
                <w:t>Form 8-K</w:t>
              </w:r>
            </w:hyperlink>
          </w:p>
        </w:tc>
        <w:tc>
          <w:tcPr>
            <w:tcW w:w="920" w:type="dxa"/>
            <w:vAlign w:val="bottom"/>
            <w:gridSpan w:val="2"/>
          </w:tcPr>
          <w:p>
            <w:pPr>
              <w:jc w:val="center"/>
              <w:ind w:left="111"/>
              <w:spacing w:after="0"/>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91"/>
              <w:spacing w:after="0"/>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24"/>
                <w:szCs w:val="24"/>
                <w:color w:val="auto"/>
              </w:rPr>
            </w:pPr>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10"/>
          </w:tcPr>
          <w:p>
            <w:pPr>
              <w:jc w:val="center"/>
              <w:ind w:right="100"/>
              <w:spacing w:after="0" w:line="194"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(Exhibit 10.23.1)</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07"/>
        </w:trPr>
        <w:tc>
          <w:tcPr>
            <w:tcW w:w="1480" w:type="dxa"/>
            <w:vAlign w:val="bottom"/>
            <w:gridSpan w:val="4"/>
          </w:tcPr>
          <w:p>
            <w:pPr>
              <w:jc w:val="center"/>
              <w:spacing w:after="0"/>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120" w:type="dxa"/>
            <w:vAlign w:val="bottom"/>
          </w:tcPr>
          <w:p>
            <w:pPr>
              <w:spacing w:after="0"/>
              <w:rPr>
                <w:sz w:val="24"/>
                <w:szCs w:val="24"/>
                <w:color w:val="auto"/>
              </w:rPr>
            </w:pPr>
          </w:p>
        </w:tc>
        <w:tc>
          <w:tcPr>
            <w:tcW w:w="4620" w:type="dxa"/>
            <w:vAlign w:val="bottom"/>
            <w:gridSpan w:val="13"/>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Stock Option Agreement under TMC the metals</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4"/>
          </w:tcPr>
          <w:p>
            <w:pPr>
              <w:jc w:val="center"/>
              <w:ind w:right="260"/>
              <w:spacing w:after="0"/>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Form 8-K</w:t>
              </w:r>
            </w:hyperlink>
          </w:p>
        </w:tc>
        <w:tc>
          <w:tcPr>
            <w:tcW w:w="280" w:type="dxa"/>
            <w:vAlign w:val="bottom"/>
            <w:gridSpan w:val="2"/>
          </w:tcPr>
          <w:p>
            <w:pPr>
              <w:spacing w:after="0"/>
              <w:rPr>
                <w:sz w:val="24"/>
                <w:szCs w:val="24"/>
                <w:color w:val="auto"/>
              </w:rPr>
            </w:pPr>
          </w:p>
        </w:tc>
        <w:tc>
          <w:tcPr>
            <w:tcW w:w="920" w:type="dxa"/>
            <w:vAlign w:val="bottom"/>
            <w:gridSpan w:val="2"/>
          </w:tcPr>
          <w:p>
            <w:pPr>
              <w:jc w:val="center"/>
              <w:ind w:left="111"/>
              <w:spacing w:after="0"/>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9/15/2021</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91"/>
              <w:spacing w:after="0"/>
              <w:rPr>
                <w:rFonts w:ascii="Times New Roman" w:cs="Times New Roman" w:eastAsia="Times New Roman" w:hAnsi="Times New Roman"/>
                <w:sz w:val="18"/>
                <w:szCs w:val="18"/>
                <w:color w:val="0000EE"/>
                <w:w w:val="97"/>
              </w:rPr>
            </w:pPr>
            <w:hyperlink r:id="rId22">
              <w:r>
                <w:rPr>
                  <w:rFonts w:ascii="Times New Roman" w:cs="Times New Roman" w:eastAsia="Times New Roman" w:hAnsi="Times New Roman"/>
                  <w:sz w:val="18"/>
                  <w:szCs w:val="18"/>
                  <w:color w:val="0000EE"/>
                  <w:w w:val="97"/>
                </w:rPr>
                <w:t>001-39281</w:t>
              </w:r>
            </w:hyperlink>
          </w:p>
        </w:tc>
        <w:tc>
          <w:tcPr>
            <w:tcW w:w="180" w:type="dxa"/>
            <w:vAlign w:val="bottom"/>
          </w:tcPr>
          <w:p>
            <w:pPr>
              <w:spacing w:after="0"/>
              <w:rPr>
                <w:sz w:val="24"/>
                <w:szCs w:val="24"/>
                <w:color w:val="auto"/>
              </w:rPr>
            </w:pPr>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gridSpan w:val="9"/>
          </w:tcPr>
          <w:p>
            <w:pPr>
              <w:spacing w:after="0" w:line="194"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company Inc. 2021 Incentive Equity Plan</w:t>
              </w:r>
            </w:hyperlink>
          </w:p>
        </w:tc>
        <w:tc>
          <w:tcPr>
            <w:tcW w:w="580" w:type="dxa"/>
            <w:vAlign w:val="bottom"/>
            <w:gridSpan w:val="4"/>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10"/>
          </w:tcPr>
          <w:p>
            <w:pPr>
              <w:jc w:val="center"/>
              <w:ind w:right="100"/>
              <w:spacing w:after="0" w:line="194"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(Exhibit 10.23.2)</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7"/>
        </w:trPr>
        <w:tc>
          <w:tcPr>
            <w:tcW w:w="1480" w:type="dxa"/>
            <w:vAlign w:val="bottom"/>
            <w:gridSpan w:val="4"/>
          </w:tcPr>
          <w:p>
            <w:pPr>
              <w:jc w:val="center"/>
              <w:spacing w:after="0"/>
              <w:rPr>
                <w:rFonts w:ascii="Times New Roman" w:cs="Times New Roman" w:eastAsia="Times New Roman" w:hAnsi="Times New Roman"/>
                <w:sz w:val="18"/>
                <w:szCs w:val="18"/>
                <w:color w:val="0000EE"/>
                <w:w w:val="95"/>
              </w:rPr>
            </w:pPr>
            <w:hyperlink r:id="rId23">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hyperlink>
          </w:p>
        </w:tc>
        <w:tc>
          <w:tcPr>
            <w:tcW w:w="120" w:type="dxa"/>
            <w:vAlign w:val="bottom"/>
          </w:tcPr>
          <w:p>
            <w:pPr>
              <w:spacing w:after="0"/>
              <w:rPr>
                <w:sz w:val="24"/>
                <w:szCs w:val="24"/>
                <w:color w:val="auto"/>
              </w:rPr>
            </w:pPr>
          </w:p>
        </w:tc>
        <w:tc>
          <w:tcPr>
            <w:tcW w:w="4620" w:type="dxa"/>
            <w:vAlign w:val="bottom"/>
            <w:gridSpan w:val="13"/>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Restricted Stock Unit Agreement under TMC the</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6"/>
          </w:tcPr>
          <w:p>
            <w:pPr>
              <w:jc w:val="center"/>
              <w:ind w:right="560"/>
              <w:spacing w:after="0"/>
              <w:rPr>
                <w:rFonts w:ascii="Times New Roman" w:cs="Times New Roman" w:eastAsia="Times New Roman" w:hAnsi="Times New Roman"/>
                <w:sz w:val="18"/>
                <w:szCs w:val="18"/>
                <w:color w:val="0000EE"/>
                <w:w w:val="96"/>
              </w:rPr>
            </w:pPr>
            <w:hyperlink r:id="rId23">
              <w:r>
                <w:rPr>
                  <w:rFonts w:ascii="Times New Roman" w:cs="Times New Roman" w:eastAsia="Times New Roman" w:hAnsi="Times New Roman"/>
                  <w:sz w:val="18"/>
                  <w:szCs w:val="18"/>
                  <w:color w:val="0000EE"/>
                  <w:w w:val="96"/>
                </w:rPr>
                <w:t>Form S-8</w:t>
              </w:r>
            </w:hyperlink>
          </w:p>
        </w:tc>
        <w:tc>
          <w:tcPr>
            <w:tcW w:w="1120" w:type="dxa"/>
            <w:vAlign w:val="bottom"/>
            <w:gridSpan w:val="3"/>
          </w:tcPr>
          <w:p>
            <w:pPr>
              <w:jc w:val="center"/>
              <w:spacing w:after="0"/>
              <w:rPr>
                <w:rFonts w:ascii="Times New Roman" w:cs="Times New Roman" w:eastAsia="Times New Roman" w:hAnsi="Times New Roman"/>
                <w:sz w:val="18"/>
                <w:szCs w:val="18"/>
                <w:color w:val="0000EE"/>
                <w:w w:val="97"/>
              </w:rPr>
            </w:pPr>
            <w:hyperlink r:id="rId23">
              <w:r>
                <w:rPr>
                  <w:rFonts w:ascii="Times New Roman" w:cs="Times New Roman" w:eastAsia="Times New Roman" w:hAnsi="Times New Roman"/>
                  <w:sz w:val="18"/>
                  <w:szCs w:val="18"/>
                  <w:color w:val="0000EE"/>
                  <w:w w:val="97"/>
                </w:rPr>
                <w:t>11/19/2021</w:t>
              </w:r>
            </w:hyperlink>
          </w:p>
        </w:tc>
        <w:tc>
          <w:tcPr>
            <w:tcW w:w="100" w:type="dxa"/>
            <w:vAlign w:val="bottom"/>
          </w:tcPr>
          <w:p>
            <w:pPr>
              <w:spacing w:after="0"/>
              <w:rPr>
                <w:sz w:val="24"/>
                <w:szCs w:val="24"/>
                <w:color w:val="auto"/>
              </w:rPr>
            </w:pPr>
          </w:p>
        </w:tc>
        <w:tc>
          <w:tcPr>
            <w:tcW w:w="1120" w:type="dxa"/>
            <w:vAlign w:val="bottom"/>
            <w:gridSpan w:val="3"/>
          </w:tcPr>
          <w:p>
            <w:pPr>
              <w:jc w:val="center"/>
              <w:spacing w:after="0"/>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333-261221</w:t>
              </w:r>
            </w:hyperlink>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r>
      <w:tr>
        <w:trPr>
          <w:trHeight w:val="193"/>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spacing w:after="0" w:line="194"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metals company Inc. 2021 Incentive Equity Plan</w:t>
              </w:r>
            </w:hyperlink>
          </w:p>
        </w:tc>
        <w:tc>
          <w:tcPr>
            <w:tcW w:w="660" w:type="dxa"/>
            <w:vAlign w:val="bottom"/>
            <w:gridSpan w:val="4"/>
          </w:tcPr>
          <w:p>
            <w:pPr>
              <w:spacing w:after="0"/>
              <w:rPr>
                <w:sz w:val="16"/>
                <w:szCs w:val="16"/>
                <w:color w:val="auto"/>
              </w:rPr>
            </w:pPr>
          </w:p>
        </w:tc>
        <w:tc>
          <w:tcPr>
            <w:tcW w:w="500" w:type="dxa"/>
            <w:vAlign w:val="bottom"/>
            <w:gridSpan w:val="3"/>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8"/>
          </w:tcPr>
          <w:p>
            <w:pPr>
              <w:jc w:val="center"/>
              <w:ind w:right="400"/>
              <w:spacing w:after="0" w:line="194"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(Exhibit 99.3)</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07"/>
        </w:trPr>
        <w:tc>
          <w:tcPr>
            <w:tcW w:w="62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6"/>
              </w:rPr>
              <w:t>107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Filing Fee Table</w:t>
            </w:r>
          </w:p>
        </w:tc>
        <w:tc>
          <w:tcPr>
            <w:tcW w:w="2300" w:type="dxa"/>
            <w:vAlign w:val="bottom"/>
            <w:tcBorders>
              <w:top w:val="single" w:sz="8" w:color="0000EE"/>
            </w:tcBorders>
            <w:gridSpan w:val="3"/>
          </w:tcPr>
          <w:p>
            <w:pPr>
              <w:spacing w:after="0"/>
              <w:rPr>
                <w:sz w:val="24"/>
                <w:szCs w:val="24"/>
                <w:color w:val="auto"/>
              </w:rPr>
            </w:pPr>
          </w:p>
        </w:tc>
        <w:tc>
          <w:tcPr>
            <w:tcW w:w="116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0000EE"/>
                <w:w w:val="91"/>
              </w:rPr>
              <w:t>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S-8 to be signed on its behalf by the undersigned, thereunto duly authorized in New York, New York on May 31, 2022.</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Craig Shesky</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1"/>
                <w:szCs w:val="21"/>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3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32"/>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Gerard Barron</w:t>
            </w:r>
          </w:p>
        </w:tc>
        <w:tc>
          <w:tcPr>
            <w:tcW w:w="240" w:type="dxa"/>
            <w:vAlign w:val="bottom"/>
          </w:tcPr>
          <w:p>
            <w:pPr>
              <w:spacing w:after="0"/>
              <w:rPr>
                <w:sz w:val="20"/>
                <w:szCs w:val="20"/>
                <w:color w:val="auto"/>
              </w:rPr>
            </w:pPr>
          </w:p>
        </w:tc>
        <w:tc>
          <w:tcPr>
            <w:tcW w:w="4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Executive Officer and Chairman</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c>
          <w:tcPr>
            <w:tcW w:w="0" w:type="dxa"/>
            <w:vAlign w:val="bottom"/>
          </w:tcPr>
          <w:p>
            <w:pPr>
              <w:spacing w:after="0"/>
              <w:rPr>
                <w:sz w:val="1"/>
                <w:szCs w:val="1"/>
                <w:color w:val="auto"/>
              </w:rPr>
            </w:pPr>
          </w:p>
        </w:tc>
      </w:tr>
      <w:tr>
        <w:trPr>
          <w:trHeight w:val="34"/>
        </w:trPr>
        <w:tc>
          <w:tcPr>
            <w:tcW w:w="4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4380" w:type="dxa"/>
            <w:vAlign w:val="bottom"/>
            <w:gridSpan w:val="2"/>
            <w:vMerge w:val="continue"/>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7"/>
        </w:trPr>
        <w:tc>
          <w:tcPr>
            <w:tcW w:w="4500" w:type="dxa"/>
            <w:vAlign w:val="bottom"/>
            <w:tcBorders>
              <w:bottom w:val="single" w:sz="8" w:color="auto"/>
            </w:tcBorders>
          </w:tcPr>
          <w:p>
            <w:pPr>
              <w:spacing w:after="0"/>
              <w:rPr>
                <w:sz w:val="5"/>
                <w:szCs w:val="5"/>
                <w:color w:val="auto"/>
              </w:rPr>
            </w:pPr>
          </w:p>
        </w:tc>
        <w:tc>
          <w:tcPr>
            <w:tcW w:w="240" w:type="dxa"/>
            <w:vAlign w:val="bottom"/>
            <w:vMerge w:val="restart"/>
          </w:tcPr>
          <w:p>
            <w:pPr>
              <w:spacing w:after="0"/>
              <w:rPr>
                <w:sz w:val="5"/>
                <w:szCs w:val="5"/>
                <w:color w:val="auto"/>
              </w:rPr>
            </w:pPr>
          </w:p>
        </w:tc>
        <w:tc>
          <w:tcPr>
            <w:tcW w:w="4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Gerard Barron</w:t>
            </w:r>
          </w:p>
        </w:tc>
        <w:tc>
          <w:tcPr>
            <w:tcW w:w="240" w:type="dxa"/>
            <w:vAlign w:val="bottom"/>
            <w:vMerge w:val="continue"/>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31, 2022</w:t>
            </w:r>
          </w:p>
        </w:tc>
        <w:tc>
          <w:tcPr>
            <w:tcW w:w="0" w:type="dxa"/>
            <w:vAlign w:val="bottom"/>
          </w:tcPr>
          <w:p>
            <w:pPr>
              <w:spacing w:after="0"/>
              <w:rPr>
                <w:sz w:val="1"/>
                <w:szCs w:val="1"/>
                <w:color w:val="auto"/>
              </w:rPr>
            </w:pPr>
          </w:p>
        </w:tc>
      </w:tr>
      <w:tr>
        <w:trPr>
          <w:trHeight w:val="78"/>
        </w:trPr>
        <w:tc>
          <w:tcPr>
            <w:tcW w:w="4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Craig Shesky</w:t>
            </w:r>
          </w:p>
        </w:tc>
        <w:tc>
          <w:tcPr>
            <w:tcW w:w="240" w:type="dxa"/>
            <w:vAlign w:val="bottom"/>
          </w:tcPr>
          <w:p>
            <w:pPr>
              <w:spacing w:after="0"/>
              <w:rPr>
                <w:sz w:val="16"/>
                <w:szCs w:val="16"/>
                <w:color w:val="auto"/>
              </w:rPr>
            </w:pPr>
          </w:p>
        </w:tc>
        <w:tc>
          <w:tcPr>
            <w:tcW w:w="43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380" w:type="dxa"/>
            <w:vAlign w:val="bottom"/>
            <w:gridSpan w:val="2"/>
            <w:vMerge w:val="continue"/>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2"/>
        </w:trPr>
        <w:tc>
          <w:tcPr>
            <w:tcW w:w="4500" w:type="dxa"/>
            <w:vAlign w:val="bottom"/>
            <w:tcBorders>
              <w:bottom w:val="single" w:sz="8" w:color="auto"/>
            </w:tcBorders>
          </w:tcPr>
          <w:p>
            <w:pPr>
              <w:spacing w:after="0"/>
              <w:rPr>
                <w:sz w:val="4"/>
                <w:szCs w:val="4"/>
                <w:color w:val="auto"/>
              </w:rPr>
            </w:pPr>
          </w:p>
        </w:tc>
        <w:tc>
          <w:tcPr>
            <w:tcW w:w="6740" w:type="dxa"/>
            <w:vAlign w:val="bottom"/>
            <w:vMerge w:val="restart"/>
          </w:tcPr>
          <w:p>
            <w:pPr>
              <w:jc w:val="center"/>
              <w:ind w:right="2134"/>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Financial and Accounting Officer</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153"/>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Craig Shesky</w:t>
            </w:r>
          </w:p>
        </w:tc>
        <w:tc>
          <w:tcPr>
            <w:tcW w:w="6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4500" w:type="dxa"/>
            <w:vAlign w:val="bottom"/>
            <w:vMerge w:val="continue"/>
          </w:tcPr>
          <w:p>
            <w:pPr>
              <w:spacing w:after="0"/>
              <w:rPr>
                <w:sz w:val="6"/>
                <w:szCs w:val="6"/>
                <w:color w:val="auto"/>
              </w:rPr>
            </w:pPr>
          </w:p>
        </w:tc>
        <w:tc>
          <w:tcPr>
            <w:tcW w:w="6740" w:type="dxa"/>
            <w:vAlign w:val="bottom"/>
            <w:vMerge w:val="restart"/>
          </w:tcPr>
          <w:p>
            <w:pPr>
              <w:ind w:left="5180"/>
              <w:spacing w:after="0"/>
              <w:rPr>
                <w:sz w:val="20"/>
                <w:szCs w:val="20"/>
                <w:color w:val="auto"/>
              </w:rPr>
            </w:pPr>
            <w:r>
              <w:rPr>
                <w:rFonts w:ascii="Times New Roman" w:cs="Times New Roman" w:eastAsia="Times New Roman" w:hAnsi="Times New Roman"/>
                <w:sz w:val="18"/>
                <w:szCs w:val="18"/>
                <w:color w:val="auto"/>
              </w:rPr>
              <w:t>May 31, 2022</w:t>
            </w:r>
          </w:p>
        </w:tc>
        <w:tc>
          <w:tcPr>
            <w:tcW w:w="0" w:type="dxa"/>
            <w:vAlign w:val="bottom"/>
          </w:tcPr>
          <w:p>
            <w:pPr>
              <w:spacing w:after="0"/>
              <w:rPr>
                <w:sz w:val="1"/>
                <w:szCs w:val="1"/>
                <w:color w:val="auto"/>
              </w:rPr>
            </w:pPr>
          </w:p>
        </w:tc>
      </w:tr>
      <w:tr>
        <w:trPr>
          <w:trHeight w:val="14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Gina Stryker</w:t>
            </w:r>
          </w:p>
        </w:tc>
        <w:tc>
          <w:tcPr>
            <w:tcW w:w="6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vMerge w:val="continue"/>
          </w:tcPr>
          <w:p>
            <w:pPr>
              <w:spacing w:after="0"/>
              <w:rPr>
                <w:sz w:val="15"/>
                <w:szCs w:val="15"/>
                <w:color w:val="auto"/>
              </w:rPr>
            </w:pPr>
          </w:p>
        </w:tc>
        <w:tc>
          <w:tcPr>
            <w:tcW w:w="6740" w:type="dxa"/>
            <w:vAlign w:val="bottom"/>
          </w:tcPr>
          <w:p>
            <w:pPr>
              <w:jc w:val="center"/>
              <w:ind w:right="2134"/>
              <w:spacing w:after="0" w:line="154" w:lineRule="exact"/>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Gina Stryker</w:t>
            </w:r>
          </w:p>
        </w:tc>
        <w:tc>
          <w:tcPr>
            <w:tcW w:w="6740" w:type="dxa"/>
            <w:vAlign w:val="bottom"/>
            <w:vMerge w:val="restart"/>
          </w:tcPr>
          <w:p>
            <w:pPr>
              <w:ind w:left="5180"/>
              <w:spacing w:after="0"/>
              <w:rPr>
                <w:sz w:val="20"/>
                <w:szCs w:val="20"/>
                <w:color w:val="auto"/>
              </w:rPr>
            </w:pPr>
            <w:r>
              <w:rPr>
                <w:rFonts w:ascii="Times New Roman" w:cs="Times New Roman" w:eastAsia="Times New Roman" w:hAnsi="Times New Roman"/>
                <w:sz w:val="18"/>
                <w:szCs w:val="18"/>
                <w:color w:val="auto"/>
              </w:rPr>
              <w:t>May 31, 2022</w:t>
            </w:r>
          </w:p>
        </w:tc>
        <w:tc>
          <w:tcPr>
            <w:tcW w:w="0" w:type="dxa"/>
            <w:vAlign w:val="bottom"/>
          </w:tcPr>
          <w:p>
            <w:pPr>
              <w:spacing w:after="0"/>
              <w:rPr>
                <w:sz w:val="1"/>
                <w:szCs w:val="1"/>
                <w:color w:val="auto"/>
              </w:rPr>
            </w:pPr>
          </w:p>
        </w:tc>
      </w:tr>
      <w:tr>
        <w:trPr>
          <w:trHeight w:val="14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Christian Madsbjerg</w:t>
            </w:r>
          </w:p>
        </w:tc>
        <w:tc>
          <w:tcPr>
            <w:tcW w:w="6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vMerge w:val="continue"/>
          </w:tcPr>
          <w:p>
            <w:pPr>
              <w:spacing w:after="0"/>
              <w:rPr>
                <w:sz w:val="15"/>
                <w:szCs w:val="15"/>
                <w:color w:val="auto"/>
              </w:rPr>
            </w:pPr>
          </w:p>
        </w:tc>
        <w:tc>
          <w:tcPr>
            <w:tcW w:w="6740" w:type="dxa"/>
            <w:vAlign w:val="bottom"/>
          </w:tcPr>
          <w:p>
            <w:pPr>
              <w:jc w:val="center"/>
              <w:ind w:right="2134"/>
              <w:spacing w:after="0" w:line="154" w:lineRule="exact"/>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Christian Madsbjerg</w:t>
            </w:r>
          </w:p>
        </w:tc>
        <w:tc>
          <w:tcPr>
            <w:tcW w:w="6740" w:type="dxa"/>
            <w:vAlign w:val="bottom"/>
            <w:vMerge w:val="restart"/>
          </w:tcPr>
          <w:p>
            <w:pPr>
              <w:ind w:left="5180"/>
              <w:spacing w:after="0"/>
              <w:rPr>
                <w:sz w:val="20"/>
                <w:szCs w:val="20"/>
                <w:color w:val="auto"/>
              </w:rPr>
            </w:pPr>
            <w:r>
              <w:rPr>
                <w:rFonts w:ascii="Times New Roman" w:cs="Times New Roman" w:eastAsia="Times New Roman" w:hAnsi="Times New Roman"/>
                <w:sz w:val="18"/>
                <w:szCs w:val="18"/>
                <w:color w:val="auto"/>
              </w:rPr>
              <w:t>May 31, 2022</w:t>
            </w:r>
          </w:p>
        </w:tc>
        <w:tc>
          <w:tcPr>
            <w:tcW w:w="0" w:type="dxa"/>
            <w:vAlign w:val="bottom"/>
          </w:tcPr>
          <w:p>
            <w:pPr>
              <w:spacing w:after="0"/>
              <w:rPr>
                <w:sz w:val="1"/>
                <w:szCs w:val="1"/>
                <w:color w:val="auto"/>
              </w:rPr>
            </w:pPr>
          </w:p>
        </w:tc>
      </w:tr>
      <w:tr>
        <w:trPr>
          <w:trHeight w:val="14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Andrew Hall</w:t>
            </w:r>
          </w:p>
        </w:tc>
        <w:tc>
          <w:tcPr>
            <w:tcW w:w="6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vMerge w:val="continue"/>
          </w:tcPr>
          <w:p>
            <w:pPr>
              <w:spacing w:after="0"/>
              <w:rPr>
                <w:sz w:val="15"/>
                <w:szCs w:val="15"/>
                <w:color w:val="auto"/>
              </w:rPr>
            </w:pPr>
          </w:p>
        </w:tc>
        <w:tc>
          <w:tcPr>
            <w:tcW w:w="6740" w:type="dxa"/>
            <w:vAlign w:val="bottom"/>
          </w:tcPr>
          <w:p>
            <w:pPr>
              <w:jc w:val="center"/>
              <w:ind w:right="2134"/>
              <w:spacing w:after="0" w:line="154" w:lineRule="exact"/>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Hall</w:t>
            </w:r>
          </w:p>
        </w:tc>
        <w:tc>
          <w:tcPr>
            <w:tcW w:w="6740" w:type="dxa"/>
            <w:vAlign w:val="bottom"/>
            <w:vMerge w:val="restart"/>
          </w:tcPr>
          <w:p>
            <w:pPr>
              <w:ind w:left="5180"/>
              <w:spacing w:after="0"/>
              <w:rPr>
                <w:sz w:val="20"/>
                <w:szCs w:val="20"/>
                <w:color w:val="auto"/>
              </w:rPr>
            </w:pPr>
            <w:r>
              <w:rPr>
                <w:rFonts w:ascii="Times New Roman" w:cs="Times New Roman" w:eastAsia="Times New Roman" w:hAnsi="Times New Roman"/>
                <w:sz w:val="18"/>
                <w:szCs w:val="18"/>
                <w:color w:val="auto"/>
              </w:rPr>
              <w:t>May 31, 2022</w:t>
            </w:r>
          </w:p>
        </w:tc>
        <w:tc>
          <w:tcPr>
            <w:tcW w:w="0" w:type="dxa"/>
            <w:vAlign w:val="bottom"/>
          </w:tcPr>
          <w:p>
            <w:pPr>
              <w:spacing w:after="0"/>
              <w:rPr>
                <w:sz w:val="1"/>
                <w:szCs w:val="1"/>
                <w:color w:val="auto"/>
              </w:rPr>
            </w:pPr>
          </w:p>
        </w:tc>
      </w:tr>
      <w:tr>
        <w:trPr>
          <w:trHeight w:val="14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Kathleen McAllister</w:t>
            </w:r>
          </w:p>
        </w:tc>
        <w:tc>
          <w:tcPr>
            <w:tcW w:w="6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vMerge w:val="continue"/>
          </w:tcPr>
          <w:p>
            <w:pPr>
              <w:spacing w:after="0"/>
              <w:rPr>
                <w:sz w:val="15"/>
                <w:szCs w:val="15"/>
                <w:color w:val="auto"/>
              </w:rPr>
            </w:pPr>
          </w:p>
        </w:tc>
        <w:tc>
          <w:tcPr>
            <w:tcW w:w="6740" w:type="dxa"/>
            <w:vAlign w:val="bottom"/>
          </w:tcPr>
          <w:p>
            <w:pPr>
              <w:jc w:val="center"/>
              <w:ind w:right="2134"/>
              <w:spacing w:after="0" w:line="154" w:lineRule="exact"/>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Kathleen McAllister</w:t>
            </w:r>
          </w:p>
        </w:tc>
        <w:tc>
          <w:tcPr>
            <w:tcW w:w="6740" w:type="dxa"/>
            <w:vAlign w:val="bottom"/>
            <w:vMerge w:val="restart"/>
          </w:tcPr>
          <w:p>
            <w:pPr>
              <w:ind w:left="5180"/>
              <w:spacing w:after="0"/>
              <w:rPr>
                <w:sz w:val="20"/>
                <w:szCs w:val="20"/>
                <w:color w:val="auto"/>
              </w:rPr>
            </w:pPr>
            <w:r>
              <w:rPr>
                <w:rFonts w:ascii="Times New Roman" w:cs="Times New Roman" w:eastAsia="Times New Roman" w:hAnsi="Times New Roman"/>
                <w:sz w:val="18"/>
                <w:szCs w:val="18"/>
                <w:color w:val="auto"/>
              </w:rPr>
              <w:t>May 31, 2022</w:t>
            </w:r>
          </w:p>
        </w:tc>
        <w:tc>
          <w:tcPr>
            <w:tcW w:w="0" w:type="dxa"/>
            <w:vAlign w:val="bottom"/>
          </w:tcPr>
          <w:p>
            <w:pPr>
              <w:spacing w:after="0"/>
              <w:rPr>
                <w:sz w:val="1"/>
                <w:szCs w:val="1"/>
                <w:color w:val="auto"/>
              </w:rPr>
            </w:pPr>
          </w:p>
        </w:tc>
      </w:tr>
      <w:tr>
        <w:trPr>
          <w:trHeight w:val="14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Sheila Khama</w:t>
            </w:r>
          </w:p>
        </w:tc>
        <w:tc>
          <w:tcPr>
            <w:tcW w:w="6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vMerge w:val="continue"/>
          </w:tcPr>
          <w:p>
            <w:pPr>
              <w:spacing w:after="0"/>
              <w:rPr>
                <w:sz w:val="15"/>
                <w:szCs w:val="15"/>
                <w:color w:val="auto"/>
              </w:rPr>
            </w:pPr>
          </w:p>
        </w:tc>
        <w:tc>
          <w:tcPr>
            <w:tcW w:w="6740" w:type="dxa"/>
            <w:vAlign w:val="bottom"/>
          </w:tcPr>
          <w:p>
            <w:pPr>
              <w:jc w:val="center"/>
              <w:ind w:right="2134"/>
              <w:spacing w:after="0" w:line="154" w:lineRule="exact"/>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Sheila Khama</w:t>
            </w:r>
          </w:p>
        </w:tc>
        <w:tc>
          <w:tcPr>
            <w:tcW w:w="6740" w:type="dxa"/>
            <w:vAlign w:val="bottom"/>
            <w:vMerge w:val="restart"/>
          </w:tcPr>
          <w:p>
            <w:pPr>
              <w:ind w:left="5180"/>
              <w:spacing w:after="0"/>
              <w:rPr>
                <w:sz w:val="20"/>
                <w:szCs w:val="20"/>
                <w:color w:val="auto"/>
              </w:rPr>
            </w:pPr>
            <w:r>
              <w:rPr>
                <w:rFonts w:ascii="Times New Roman" w:cs="Times New Roman" w:eastAsia="Times New Roman" w:hAnsi="Times New Roman"/>
                <w:sz w:val="18"/>
                <w:szCs w:val="18"/>
                <w:color w:val="auto"/>
              </w:rPr>
              <w:t>May 31, 2022</w:t>
            </w:r>
          </w:p>
        </w:tc>
        <w:tc>
          <w:tcPr>
            <w:tcW w:w="0" w:type="dxa"/>
            <w:vAlign w:val="bottom"/>
          </w:tcPr>
          <w:p>
            <w:pPr>
              <w:spacing w:after="0"/>
              <w:rPr>
                <w:sz w:val="1"/>
                <w:szCs w:val="1"/>
                <w:color w:val="auto"/>
              </w:rPr>
            </w:pPr>
          </w:p>
        </w:tc>
      </w:tr>
      <w:tr>
        <w:trPr>
          <w:trHeight w:val="14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Andrei Karkar</w:t>
            </w:r>
          </w:p>
        </w:tc>
        <w:tc>
          <w:tcPr>
            <w:tcW w:w="6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vMerge w:val="continue"/>
          </w:tcPr>
          <w:p>
            <w:pPr>
              <w:spacing w:after="0"/>
              <w:rPr>
                <w:sz w:val="15"/>
                <w:szCs w:val="15"/>
                <w:color w:val="auto"/>
              </w:rPr>
            </w:pPr>
          </w:p>
        </w:tc>
        <w:tc>
          <w:tcPr>
            <w:tcW w:w="6740" w:type="dxa"/>
            <w:vAlign w:val="bottom"/>
          </w:tcPr>
          <w:p>
            <w:pPr>
              <w:jc w:val="center"/>
              <w:ind w:right="2134"/>
              <w:spacing w:after="0" w:line="154" w:lineRule="exact"/>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Andrei Karkar</w:t>
            </w:r>
          </w:p>
        </w:tc>
        <w:tc>
          <w:tcPr>
            <w:tcW w:w="6740" w:type="dxa"/>
            <w:vAlign w:val="bottom"/>
            <w:vMerge w:val="restart"/>
          </w:tcPr>
          <w:p>
            <w:pPr>
              <w:ind w:left="5180"/>
              <w:spacing w:after="0"/>
              <w:rPr>
                <w:sz w:val="20"/>
                <w:szCs w:val="20"/>
                <w:color w:val="auto"/>
              </w:rPr>
            </w:pPr>
            <w:r>
              <w:rPr>
                <w:rFonts w:ascii="Times New Roman" w:cs="Times New Roman" w:eastAsia="Times New Roman" w:hAnsi="Times New Roman"/>
                <w:sz w:val="18"/>
                <w:szCs w:val="18"/>
                <w:color w:val="auto"/>
              </w:rPr>
              <w:t>May 31, 2022</w:t>
            </w:r>
          </w:p>
        </w:tc>
        <w:tc>
          <w:tcPr>
            <w:tcW w:w="0" w:type="dxa"/>
            <w:vAlign w:val="bottom"/>
          </w:tcPr>
          <w:p>
            <w:pPr>
              <w:spacing w:after="0"/>
              <w:rPr>
                <w:sz w:val="1"/>
                <w:szCs w:val="1"/>
                <w:color w:val="auto"/>
              </w:rPr>
            </w:pPr>
          </w:p>
        </w:tc>
      </w:tr>
      <w:tr>
        <w:trPr>
          <w:trHeight w:val="14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Amelia Kinahoi Siamomua</w:t>
            </w:r>
          </w:p>
        </w:tc>
        <w:tc>
          <w:tcPr>
            <w:tcW w:w="6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vMerge w:val="continue"/>
          </w:tcPr>
          <w:p>
            <w:pPr>
              <w:spacing w:after="0"/>
              <w:rPr>
                <w:sz w:val="15"/>
                <w:szCs w:val="15"/>
                <w:color w:val="auto"/>
              </w:rPr>
            </w:pPr>
          </w:p>
        </w:tc>
        <w:tc>
          <w:tcPr>
            <w:tcW w:w="6740" w:type="dxa"/>
            <w:vAlign w:val="bottom"/>
          </w:tcPr>
          <w:p>
            <w:pPr>
              <w:jc w:val="center"/>
              <w:ind w:right="2134"/>
              <w:spacing w:after="0" w:line="154" w:lineRule="exact"/>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Amelia Kinahoi Siamomua</w:t>
            </w:r>
          </w:p>
        </w:tc>
        <w:tc>
          <w:tcPr>
            <w:tcW w:w="6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154940</wp:posOffset>
            </wp:positionV>
            <wp:extent cx="948690" cy="220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48690" cy="2203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511175</wp:posOffset>
            </wp:positionV>
            <wp:extent cx="7196455" cy="669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96455" cy="66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328015.00001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V6C 2T5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Registration Statement on Form S-8</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Canadian counsel to TMC the metals company Inc., a corporation continued under the laws of the Province of British Columbia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the filing of a registration statement on Form S-8 (as may be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Registration Statement relates to registering the issuance of an aggregate of 9,017,299 common shares without par value in the capital of the Corporation (the “</w:t>
      </w:r>
      <w:r>
        <w:rPr>
          <w:rFonts w:ascii="Times New Roman" w:cs="Times New Roman" w:eastAsia="Times New Roman" w:hAnsi="Times New Roman"/>
          <w:sz w:val="18"/>
          <w:szCs w:val="18"/>
          <w:b w:val="1"/>
          <w:bCs w:val="1"/>
          <w:color w:val="auto"/>
        </w:rPr>
        <w:t>2021 Plan Shares</w:t>
      </w:r>
      <w:r>
        <w:rPr>
          <w:rFonts w:ascii="Times New Roman" w:cs="Times New Roman" w:eastAsia="Times New Roman" w:hAnsi="Times New Roman"/>
          <w:sz w:val="18"/>
          <w:szCs w:val="18"/>
          <w:color w:val="auto"/>
        </w:rPr>
        <w:t>”) issuable upon exercise of the awards (the “</w:t>
      </w:r>
      <w:r>
        <w:rPr>
          <w:rFonts w:ascii="Times New Roman" w:cs="Times New Roman" w:eastAsia="Times New Roman" w:hAnsi="Times New Roman"/>
          <w:sz w:val="18"/>
          <w:szCs w:val="18"/>
          <w:b w:val="1"/>
          <w:bCs w:val="1"/>
          <w:color w:val="auto"/>
        </w:rPr>
        <w:t>2021 Plan Awards</w:t>
      </w:r>
      <w:r>
        <w:rPr>
          <w:rFonts w:ascii="Times New Roman" w:cs="Times New Roman" w:eastAsia="Times New Roman" w:hAnsi="Times New Roman"/>
          <w:sz w:val="18"/>
          <w:szCs w:val="18"/>
          <w:color w:val="auto"/>
        </w:rPr>
        <w:t>”) outstanding under and in accordance with the terms of the 2021 Incentive Equity Plan of the Corporation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40" w:hanging="633"/>
        <w:spacing w:after="0"/>
        <w:tabs>
          <w:tab w:leader="none" w:pos="6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Reviewed and Reliance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As Canadian counsel to the Corporation, we have examined original executed or electronically delivered copies, which have been certified or otherwise identified to our satisfaction, of:</w:t>
      </w:r>
    </w:p>
    <w:p>
      <w:pPr>
        <w:spacing w:after="0" w:line="163" w:lineRule="exact"/>
        <w:rPr>
          <w:sz w:val="20"/>
          <w:szCs w:val="20"/>
          <w:color w:val="auto"/>
        </w:rPr>
      </w:pPr>
    </w:p>
    <w:p>
      <w:pPr>
        <w:ind w:left="1280" w:hanging="633"/>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74" w:lineRule="exact"/>
        <w:rPr>
          <w:sz w:val="20"/>
          <w:szCs w:val="20"/>
          <w:color w:val="auto"/>
        </w:rPr>
      </w:pPr>
    </w:p>
    <w:p>
      <w:pPr>
        <w:ind w:left="1280" w:hanging="633"/>
        <w:spacing w:after="0" w:line="279"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May 31, 2022 issued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relating to the Corporation; and</w:t>
      </w:r>
    </w:p>
    <w:p>
      <w:pPr>
        <w:spacing w:after="0" w:line="161"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rFonts w:ascii="Times New Roman" w:cs="Times New Roman" w:eastAsia="Times New Roman" w:hAnsi="Times New Roman"/>
          <w:sz w:val="18"/>
          <w:szCs w:val="18"/>
          <w:b w:val="1"/>
          <w:bCs w:val="1"/>
          <w:color w:val="auto"/>
        </w:rPr>
        <w:t>Constating Documents</w:t>
      </w:r>
      <w:r>
        <w:rPr>
          <w:rFonts w:ascii="Times New Roman" w:cs="Times New Roman" w:eastAsia="Times New Roman" w:hAnsi="Times New Roman"/>
          <w:sz w:val="18"/>
          <w:szCs w:val="18"/>
          <w:color w:val="auto"/>
        </w:rPr>
        <w:t>”), and the resolutions of the directors of the Corporation authorizing and approving the 2021 Plan, and the issuance of the 2021 Plan Shares (the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262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4225" cy="262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3308350</wp:posOffset>
            </wp:positionH>
            <wp:positionV relativeFrom="page">
              <wp:posOffset>580390</wp:posOffset>
            </wp:positionV>
            <wp:extent cx="940435" cy="203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940435" cy="203200"/>
                    </a:xfrm>
                    <a:prstGeom prst="rect">
                      <a:avLst/>
                    </a:prstGeom>
                    <a:noFill/>
                  </pic:spPr>
                </pic:pic>
              </a:graphicData>
            </a:graphic>
          </wp:anchor>
        </w:drawing>
        <w:t>As to various questions of fact material to the opinions provided herein, we have relied upon the Officer’s Certificate.</w:t>
      </w:r>
    </w:p>
    <w:p>
      <w:pPr>
        <w:spacing w:after="0" w:line="216" w:lineRule="exact"/>
        <w:rPr>
          <w:sz w:val="20"/>
          <w:szCs w:val="20"/>
          <w:color w:val="auto"/>
        </w:rPr>
      </w:pPr>
    </w:p>
    <w:p>
      <w:pPr>
        <w:ind w:left="640" w:hanging="633"/>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Addressed</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spacing w:after="0" w:line="172" w:lineRule="exact"/>
        <w:rPr>
          <w:sz w:val="20"/>
          <w:szCs w:val="20"/>
          <w:color w:val="auto"/>
        </w:rPr>
      </w:pPr>
    </w:p>
    <w:p>
      <w:pPr>
        <w:ind w:left="640" w:hanging="633"/>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Assumptions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the opinions expressed herein, we have assumed, without independent investigation, the following:</w:t>
      </w:r>
    </w:p>
    <w:p>
      <w:pPr>
        <w:spacing w:after="0" w:line="220" w:lineRule="exact"/>
        <w:rPr>
          <w:sz w:val="20"/>
          <w:szCs w:val="20"/>
          <w:color w:val="auto"/>
        </w:rPr>
      </w:pPr>
    </w:p>
    <w:p>
      <w:pPr>
        <w:jc w:val="both"/>
        <w:ind w:left="1280" w:hanging="633"/>
        <w:spacing w:after="0" w:line="26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Officer’s Certificate continues to be accurate on the date hereof;</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2021 Plan and the 2021 Plan Awards constitutes a legal, valid and binding obligation of the Corporation and the other parties thereto, enforceable against each of the parties thereto in accordance with its terms and the execution and delivery thereof was duly authorized by the parties thereto; and</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250190</wp:posOffset>
            </wp:positionV>
            <wp:extent cx="203200" cy="237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03200"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5" w:name="page6"/>
    <w:bookmarkEnd w:id="5"/>
    <w:p>
      <w:pPr>
        <w:ind w:left="640" w:hanging="633"/>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3308350</wp:posOffset>
            </wp:positionH>
            <wp:positionV relativeFrom="page">
              <wp:posOffset>580390</wp:posOffset>
            </wp:positionV>
            <wp:extent cx="940435" cy="203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940435" cy="203200"/>
                    </a:xfrm>
                    <a:prstGeom prst="rect">
                      <a:avLst/>
                    </a:prstGeom>
                    <a:noFill/>
                  </pic:spPr>
                </pic:pic>
              </a:graphicData>
            </a:graphic>
          </wp:anchor>
        </w:drawing>
        <w:t>Reliance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59" w:lineRule="exact"/>
        <w:rPr>
          <w:sz w:val="20"/>
          <w:szCs w:val="20"/>
          <w:color w:val="auto"/>
        </w:rPr>
      </w:pPr>
    </w:p>
    <w:p>
      <w:pPr>
        <w:ind w:left="640" w:hanging="633"/>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Opinions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Based upon and relying on the foregoing and the qualifications hereinafter expressed, we are of the opinion that the 2021 Plan Shares, when issued in accordance with the terms of the 2021 Plan, will be validly issued, fully paid and non-assessable common shares in the capital of the Corporation.</w:t>
      </w:r>
    </w:p>
    <w:p>
      <w:pPr>
        <w:spacing w:after="0" w:line="159" w:lineRule="exact"/>
        <w:rPr>
          <w:sz w:val="20"/>
          <w:szCs w:val="20"/>
          <w:color w:val="auto"/>
        </w:rPr>
      </w:pPr>
    </w:p>
    <w:p>
      <w:pPr>
        <w:ind w:left="640" w:hanging="633"/>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Qualifications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8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153670</wp:posOffset>
            </wp:positionV>
            <wp:extent cx="203200" cy="237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03200"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2021 Incentive Equity Plan of TMC the metals company Inc. of our report dated March 25, 2022, with respect to the consolidated financial statements of TMC the metals company Inc. (the “Company”) as at and for the years ended December 31, 2021 and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 w:name="page8"/>
    <w:bookmarkEnd w:id="7"/>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TMC the metal company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Table 1: Newly Registered</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4"/>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0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Maximum Aggregate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36"/>
        </w:trPr>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0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Registered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Offering 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0" w:type="dxa"/>
            <w:vAlign w:val="bottom"/>
          </w:tcPr>
          <w:p>
            <w:pPr>
              <w:spacing w:after="0"/>
              <w:rPr>
                <w:sz w:val="20"/>
                <w:szCs w:val="20"/>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Registration Fee</w:t>
            </w:r>
          </w:p>
        </w:tc>
      </w:tr>
      <w:tr>
        <w:trPr>
          <w:trHeight w:val="188"/>
        </w:trPr>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Common shares</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457(c) and</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45"/>
        </w:trPr>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Equity</w:t>
            </w:r>
          </w:p>
        </w:tc>
        <w:tc>
          <w:tcPr>
            <w:tcW w:w="1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without par value</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457(h)</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9,017,299(2)</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12,443,872.62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0.0000927</w:t>
            </w:r>
          </w:p>
        </w:tc>
        <w:tc>
          <w:tcPr>
            <w:tcW w:w="1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1,153.55</w:t>
            </w:r>
          </w:p>
        </w:tc>
        <w:tc>
          <w:tcPr>
            <w:tcW w:w="80" w:type="dxa"/>
            <w:vAlign w:val="bottom"/>
            <w:shd w:val="clear" w:color="auto" w:fill="CCEEFF"/>
          </w:tcPr>
          <w:p>
            <w:pPr>
              <w:spacing w:after="0"/>
              <w:rPr>
                <w:sz w:val="21"/>
                <w:szCs w:val="21"/>
                <w:color w:val="auto"/>
              </w:rPr>
            </w:pPr>
          </w:p>
        </w:tc>
      </w:tr>
      <w:tr>
        <w:trPr>
          <w:trHeight w:val="220"/>
        </w:trPr>
        <w:tc>
          <w:tcPr>
            <w:tcW w:w="27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12,443,872.62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0"/>
        </w:trPr>
        <w:tc>
          <w:tcPr>
            <w:tcW w:w="2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shd w:val="clear" w:color="auto" w:fill="CCEEFF"/>
          </w:tcPr>
          <w:p>
            <w:pPr>
              <w:spacing w:after="0"/>
              <w:rPr>
                <w:sz w:val="19"/>
                <w:szCs w:val="19"/>
                <w:color w:val="auto"/>
              </w:rPr>
            </w:pPr>
          </w:p>
        </w:tc>
      </w:t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1,153.55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5" w:lineRule="exact"/>
        <w:rPr>
          <w:sz w:val="20"/>
          <w:szCs w:val="20"/>
          <w:color w:val="auto"/>
        </w:rPr>
      </w:pPr>
    </w:p>
    <w:p>
      <w:pPr>
        <w:jc w:val="both"/>
        <w:ind w:left="440" w:hanging="433"/>
        <w:spacing w:after="0" w:line="257"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without par value (“Common Shares”) that may be issued under the TMC the metals company Inc. 2021 Incentive Equity Plan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Registrant’s receipt of consideration which would increase the number of outstanding Common Shares.</w:t>
      </w:r>
    </w:p>
    <w:p>
      <w:pPr>
        <w:spacing w:after="0" w:line="180" w:lineRule="exact"/>
        <w:rPr>
          <w:rFonts w:ascii="Times New Roman" w:cs="Times New Roman" w:eastAsia="Times New Roman" w:hAnsi="Times New Roman"/>
          <w:sz w:val="18"/>
          <w:szCs w:val="18"/>
          <w:color w:val="auto"/>
        </w:rPr>
      </w:pPr>
    </w:p>
    <w:p>
      <w:pPr>
        <w:ind w:left="440" w:right="20" w:hanging="433"/>
        <w:spacing w:after="0" w:line="277"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additional Common Shares reserved for issuance under the Plan as a result of the automatic increase in the number of shares reserved under the Plan on January 1, 2022.</w:t>
      </w:r>
    </w:p>
    <w:p>
      <w:pPr>
        <w:spacing w:after="0" w:line="162" w:lineRule="exact"/>
        <w:rPr>
          <w:rFonts w:ascii="Times New Roman" w:cs="Times New Roman" w:eastAsia="Times New Roman" w:hAnsi="Times New Roman"/>
          <w:sz w:val="18"/>
          <w:szCs w:val="18"/>
          <w:color w:val="auto"/>
        </w:rPr>
      </w:pPr>
    </w:p>
    <w:p>
      <w:pPr>
        <w:jc w:val="both"/>
        <w:ind w:left="440" w:hanging="433"/>
        <w:spacing w:after="0" w:line="262"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promulgated under the Securities Act on the basis of the average of the high and the low price of Registrant’s Common Shares as reported on the Nasdaq Stock Market LLC on May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upperLetter"/>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upperLetter"/>
      <w:start w:val="4"/>
    </w:lvl>
  </w:abstractNum>
  <w:abstractNum w:abstractNumId="7">
    <w:nsid w:val="5BD062C2"/>
    <w:multiLevelType w:val="hybridMultilevel"/>
    <w:lvl w:ilvl="0">
      <w:lvlJc w:val="left"/>
      <w:lvlText w:val="%1."/>
      <w:numFmt w:val="upperLetter"/>
      <w:start w:val="5"/>
    </w:lvl>
  </w:abstractNum>
  <w:abstractNum w:abstractNumId="8">
    <w:nsid w:val="12200854"/>
    <w:multiLevelType w:val="hybridMultilevel"/>
    <w:lvl w:ilvl="0">
      <w:lvlJc w:val="left"/>
      <w:lvlText w:val="%1."/>
      <w:numFmt w:val="upperLetter"/>
      <w:start w:val="6"/>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pn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pn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17" Type="http://schemas.openxmlformats.org/officeDocument/2006/relationships/hyperlink" Target="https://www.sec.gov/Archives/edgar/data/1798562/000110465921141752/tm2133318d1_s8.htm" TargetMode="External"/><Relationship Id="rId18" Type="http://schemas.openxmlformats.org/officeDocument/2006/relationships/hyperlink" Target="https://www.sec.gov/Archives/edgar/data/1798562/000121390021048261/ea147253ex3-1_tmcthemet.htm" TargetMode="External"/><Relationship Id="rId19" Type="http://schemas.openxmlformats.org/officeDocument/2006/relationships/hyperlink" Target="https://www.sec.gov/Archives/edgar/data/1798562/000121390021048261/ea147253ex3-2_tmcthemet.htm" TargetMode="External"/><Relationship Id="rId20" Type="http://schemas.openxmlformats.org/officeDocument/2006/relationships/hyperlink" Target="https://www.sec.gov/Archives/edgar/data/1798562/000121390021048261/ea147253ex4-1_tmcthemet.htm" TargetMode="External"/><Relationship Id="rId21" Type="http://schemas.openxmlformats.org/officeDocument/2006/relationships/hyperlink" Target="https://www.sec.gov/Archives/edgar/data/1798562/000121390021048261/ea147253ex10-23i_tmcthemet.htm" TargetMode="External"/><Relationship Id="rId22" Type="http://schemas.openxmlformats.org/officeDocument/2006/relationships/hyperlink" Target="https://www.sec.gov/Archives/edgar/data/1798562/000121390021048261/ea147253ex10-23ii_tmcthemet.htm" TargetMode="External"/><Relationship Id="rId23" Type="http://schemas.openxmlformats.org/officeDocument/2006/relationships/hyperlink" Target="https://www.sec.gov/Archives/edgar/data/1798562/000110465921141752/tm2133318d1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2022-05-31T15:30:54Z</dcterms:created>
  <dcterms:modified xsi:type="dcterms:W3CDTF">2022-05-31T15:30:54Z</dcterms:modified>
</cp:coreProperties>
</file>