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June 30, 2022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333-260126</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47625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2 TO</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POST-EFFECTIVE AMENDMENT NO. 1 TO</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FORM S-1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w:t>
            </w:r>
          </w:p>
        </w:tc>
        <w:tc>
          <w:tcPr>
            <w:tcW w:w="200" w:type="dxa"/>
            <w:vAlign w:val="bottom"/>
            <w:tcBorders>
              <w:top w:val="single" w:sz="8" w:color="auto"/>
            </w:tcBorders>
          </w:tcPr>
          <w:p>
            <w:pPr>
              <w:spacing w:after="0"/>
              <w:rPr>
                <w:sz w:val="14"/>
                <w:szCs w:val="14"/>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19"/>
        </w:trPr>
        <w:tc>
          <w:tcPr>
            <w:tcW w:w="31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200" w:type="dxa"/>
            <w:vAlign w:val="bottom"/>
          </w:tcPr>
          <w:p>
            <w:pPr>
              <w:spacing w:after="0"/>
              <w:rPr>
                <w:sz w:val="10"/>
                <w:szCs w:val="10"/>
                <w:color w:val="auto"/>
              </w:rPr>
            </w:pPr>
          </w:p>
        </w:tc>
        <w:tc>
          <w:tcPr>
            <w:tcW w:w="31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(Primary Standard Industrial</w:t>
            </w:r>
          </w:p>
        </w:tc>
        <w:tc>
          <w:tcPr>
            <w:tcW w:w="200" w:type="dxa"/>
            <w:vAlign w:val="bottom"/>
          </w:tcPr>
          <w:p>
            <w:pPr>
              <w:spacing w:after="0"/>
              <w:rPr>
                <w:sz w:val="10"/>
                <w:szCs w:val="10"/>
                <w:color w:val="auto"/>
              </w:rPr>
            </w:pPr>
          </w:p>
        </w:tc>
        <w:tc>
          <w:tcPr>
            <w:tcW w:w="31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(I.R.S. Employer</w:t>
            </w:r>
          </w:p>
        </w:tc>
      </w:tr>
      <w:tr>
        <w:trPr>
          <w:trHeight w:val="188"/>
        </w:trPr>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595 Howe Street, 10 Floor</w:t>
      </w:r>
    </w:p>
    <w:p>
      <w:pPr>
        <w:jc w:val="center"/>
        <w:spacing w:after="0" w:line="227" w:lineRule="auto"/>
        <w:rPr>
          <w:sz w:val="20"/>
          <w:szCs w:val="20"/>
          <w:color w:val="auto"/>
        </w:rPr>
      </w:pPr>
      <w:r>
        <w:rPr>
          <w:rFonts w:ascii="Times New Roman" w:cs="Times New Roman" w:eastAsia="Times New Roman" w:hAnsi="Times New Roman"/>
          <w:sz w:val="14"/>
          <w:szCs w:val="14"/>
          <w:b w:val="1"/>
          <w:bCs w:val="1"/>
          <w:color w:val="auto"/>
        </w:rPr>
        <w:t>Vancouver, British Columbia</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V6C 2T5</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Telephone: (574) 252-9333</w:t>
      </w:r>
    </w:p>
    <w:p>
      <w:pPr>
        <w:jc w:val="center"/>
        <w:ind w:right="-3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850 New Burton Road, Suite 201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Dover, Delaware 19904</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Telephone: (800) 483-1140</w:t>
      </w:r>
    </w:p>
    <w:p>
      <w:pPr>
        <w:jc w:val="center"/>
        <w:ind w:right="-3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Michael L. Fantozzi, Esq.</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Daniel T. Kajunski, Esq.</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Mintz, Levin, Cohn, Ferris,</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Glovsky and Popeo, P.C.</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One Financial Center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Boston, Massachusetts 02111</w:t>
      </w: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Approximate date of commencement of proposed sale to the public: </w:t>
      </w: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84" w:lineRule="exact"/>
        <w:rPr>
          <w:sz w:val="24"/>
          <w:szCs w:val="24"/>
          <w:color w:val="auto"/>
        </w:rPr>
      </w:pPr>
    </w:p>
    <w:p>
      <w:pPr>
        <w:ind w:right="1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5" w:lineRule="exact"/>
        <w:rPr>
          <w:sz w:val="24"/>
          <w:szCs w:val="24"/>
          <w:color w:val="auto"/>
        </w:rPr>
      </w:pPr>
    </w:p>
    <w:p>
      <w:pPr>
        <w:ind w:right="4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jc w:val="both"/>
        <w:ind w:right="24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00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8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8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 w:lineRule="exact"/>
        <w:rPr>
          <w:sz w:val="24"/>
          <w:szCs w:val="24"/>
          <w:color w:val="auto"/>
        </w:rPr>
      </w:pPr>
    </w:p>
    <w:p>
      <w:pPr>
        <w:ind w:right="1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39" w:lineRule="exact"/>
        <w:rPr>
          <w:sz w:val="24"/>
          <w:szCs w:val="24"/>
          <w:color w:val="auto"/>
        </w:rPr>
      </w:pPr>
    </w:p>
    <w:p>
      <w:pPr>
        <w:jc w:val="both"/>
        <w:ind w:right="60" w:firstLine="324"/>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548005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85090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2021, the registrant filed a registration statement on Form S-1 (File No. 333-260126) (the “Registration Statement”). The Registration Statement was declared effective by the Securities and Exchange Commission on October 22, 2021. This amendment No. 2 to post-effective amendment No. 1 to the Registration Statement is being filed to, among other things, include information in the Registration Statement from the registrant’s recently filed Annual Report on Form 10-K and Quarterly Report on Form 10-Q. No additional securities are being registered under this post-effective amendment and all applicable registration and filing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902335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Neither we nor the selling securityholders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________________</w:t>
      </w:r>
    </w:p>
    <w:p>
      <w:pPr>
        <w:spacing w:after="0" w:line="124"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This prospectus relates to the issuance by us of up to an aggregate of 24,500,000 of our common shares, without par value (“Common Shares”), which consists of (i) up to 9,500,000 of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w:t>
      </w:r>
    </w:p>
    <w:p>
      <w:pPr>
        <w:spacing w:after="0" w:line="3" w:lineRule="exact"/>
        <w:rPr>
          <w:sz w:val="20"/>
          <w:szCs w:val="20"/>
          <w:color w:val="auto"/>
        </w:rPr>
      </w:pPr>
    </w:p>
    <w:p>
      <w:pPr>
        <w:ind w:right="360" w:firstLine="8"/>
        <w:spacing w:after="0" w:line="260"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15,000,000 Common Shares that are issuable upon the exercise of 15,000,000 warrants issued in connection with the initial public offering of SOAC (the “Public Warrants,” and together with the Private Placement Warrants, the “Warrants”).</w:t>
      </w:r>
    </w:p>
    <w:p>
      <w:pPr>
        <w:spacing w:after="0" w:line="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Securityholders named in this prospectus (the “Selling Securityholders”) of up to (i) 9,500,000 Private Placement Warrants, (ii) 9,500,000 Common Shares that may be issued upon exercise of the Private Placement Warrants, (iii) 11,578,620 Common Shares that may be issued upon exercise of the Allseas Warrant (as defined below), (iv) 6,759,000 Common Shares held by SOAC’s former directors, transferees of SOAC’s sponsor, Sustainable Opportunities Holdings LLC (the “Sponsor”), and certain of their transferees (collectively, the “Founder Shares”), (v) 11,030,000 Common Shares issued in the PIPE Financing (as defined below), (vi) 131,178,480 Common Shares issued to certain shareholders of DeepGreen (as defined below) pursuant to the Business Combination Agreement (as defined below), (vi) 77,277,244 Common Shares issuable to certain shareholders of DeepGreen upon the conversion of DeepGreen Earnout Shares (as defined below) pursuant to the Business Combination Agreement, (vii) 1,241,000 Common Shares issuable to the transferees of the Sponsor and their transferees upon the conversion of Sponsor Earnout Shares (as defined below) and (viii) 873,953 Common Shares issued to certain service providers to DeepGreen.</w:t>
      </w:r>
    </w:p>
    <w:p>
      <w:pPr>
        <w:spacing w:after="0" w:line="8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this prospectus, except with respect to amounts received by us upon exercise of the Warrants.</w:t>
      </w:r>
    </w:p>
    <w:p>
      <w:pPr>
        <w:spacing w:after="0" w:line="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this prospectus.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registering certain of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or Warrants in the section entitled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June 29, 2022, the closing price of our Common Shares was $1.00 and the closing price for our Public Warrants was $0.18.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114300</wp:posOffset>
            </wp:positionV>
            <wp:extent cx="1577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6"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this prospectus and in the other documents that are incorporated by reference in this prospectus.</w:t>
      </w:r>
    </w:p>
    <w:p>
      <w:pPr>
        <w:spacing w:after="0" w:line="1"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ind w:left="352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4200" w:type="dxa"/>
            <w:vAlign w:val="bottom"/>
          </w:tcPr>
          <w:p>
            <w:pPr>
              <w:jc w:val="right"/>
              <w:ind w:right="3415"/>
              <w:spacing w:after="0"/>
              <w:rPr>
                <w:sz w:val="20"/>
                <w:szCs w:val="20"/>
                <w:color w:val="auto"/>
              </w:rPr>
            </w:pPr>
            <w:r>
              <w:rPr>
                <w:rFonts w:ascii="Times New Roman" w:cs="Times New Roman" w:eastAsia="Times New Roman" w:hAnsi="Times New Roman"/>
                <w:sz w:val="17"/>
                <w:szCs w:val="17"/>
                <w:color w:val="auto"/>
              </w:rPr>
              <w:t>, 2022.</w:t>
            </w:r>
          </w:p>
        </w:tc>
      </w:tr>
      <w:tr>
        <w:trPr>
          <w:trHeight w:val="1427"/>
        </w:trPr>
        <w:tc>
          <w:tcPr>
            <w:tcW w:w="57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91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CERTAIN DEFINED TERMS</w:t>
            </w:r>
          </w:p>
        </w:tc>
        <w:tc>
          <w:tcPr>
            <w:tcW w:w="7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THE PROSPECTUS</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3"/>
        </w:trPr>
        <w:tc>
          <w:tcPr>
            <w:tcW w:w="276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6420" w:type="dxa"/>
            <w:vAlign w:val="bottom"/>
            <w:tcBorders>
              <w:top w:val="single" w:sz="8" w:color="CCEEFF"/>
            </w:tcBorders>
            <w:gridSpan w:val="13"/>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260" w:type="dxa"/>
            <w:vAlign w:val="bottom"/>
            <w:tcBorders>
              <w:bottom w:val="single" w:sz="8" w:color="0000EE"/>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920" w:type="dxa"/>
            <w:vAlign w:val="bottom"/>
            <w:tcBorders>
              <w:bottom w:val="single" w:sz="8" w:color="CCEEFF"/>
            </w:tcBorders>
            <w:gridSpan w:val="22"/>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40" w:type="dxa"/>
            <w:vAlign w:val="bottom"/>
            <w:tcBorders>
              <w:bottom w:val="single" w:sz="8" w:color="0000EE"/>
            </w:tcBorders>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5940" w:type="dxa"/>
            <w:vAlign w:val="bottom"/>
            <w:tcBorders>
              <w:bottom w:val="single" w:sz="8" w:color="CCEEFF"/>
            </w:tcBorders>
            <w:gridSpan w:val="10"/>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 OF TMC</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2520" w:type="dxa"/>
            <w:vAlign w:val="bottom"/>
            <w:tcBorders>
              <w:bottom w:val="single" w:sz="8" w:color="0000EE"/>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660" w:type="dxa"/>
            <w:vAlign w:val="bottom"/>
            <w:tcBorders>
              <w:bottom w:val="single" w:sz="8" w:color="CCEEFF"/>
            </w:tcBorders>
            <w:gridSpan w:val="14"/>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119</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SECURITIES ACT RESTRICTIONS ON RESALE OF COMMON SHARES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500" w:type="dxa"/>
            <w:vAlign w:val="bottom"/>
            <w:tcBorders>
              <w:bottom w:val="single" w:sz="8" w:color="0000EE"/>
            </w:tcBorders>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5680" w:type="dxa"/>
            <w:vAlign w:val="bottom"/>
            <w:tcBorders>
              <w:bottom w:val="single" w:sz="8" w:color="CCEEFF"/>
            </w:tcBorders>
            <w:gridSpan w:val="9"/>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132</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SELLING SECURITYHOLDERS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139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146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480" w:type="dxa"/>
            <w:vAlign w:val="bottom"/>
            <w:tcBorders>
              <w:bottom w:val="single" w:sz="8" w:color="0000EE"/>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3700" w:type="dxa"/>
            <w:vAlign w:val="bottom"/>
            <w:tcBorders>
              <w:bottom w:val="single" w:sz="8" w:color="CCEEFF"/>
            </w:tcBorders>
            <w:gridSpan w:val="6"/>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159</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520" w:type="dxa"/>
            <w:vAlign w:val="bottom"/>
            <w:tcBorders>
              <w:bottom w:val="single" w:sz="8" w:color="0000EE"/>
            </w:tcBorders>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8"/>
              </w:rPr>
              <w:t>MATERIAL CANADIAN FEDERAL INCOME TAX CONSIDERATIONS</w:t>
            </w:r>
          </w:p>
        </w:tc>
        <w:tc>
          <w:tcPr>
            <w:tcW w:w="3660" w:type="dxa"/>
            <w:vAlign w:val="bottom"/>
            <w:tcBorders>
              <w:bottom w:val="single" w:sz="8" w:color="CCEEFF"/>
            </w:tcBorders>
            <w:gridSpan w:val="4"/>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171</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176</w:t>
            </w:r>
          </w:p>
        </w:tc>
      </w:tr>
      <w:tr>
        <w:trPr>
          <w:trHeight w:val="203"/>
        </w:trPr>
        <w:tc>
          <w:tcPr>
            <w:tcW w:w="1460" w:type="dxa"/>
            <w:vAlign w:val="bottom"/>
            <w:tcBorders>
              <w:top w:val="single" w:sz="8" w:color="0000EE"/>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720" w:type="dxa"/>
            <w:vAlign w:val="bottom"/>
            <w:tcBorders>
              <w:top w:val="single" w:sz="8" w:color="CCEEFF"/>
            </w:tcBorders>
            <w:gridSpan w:val="19"/>
          </w:tcPr>
          <w:p>
            <w:pPr>
              <w:spacing w:after="0"/>
              <w:rPr>
                <w:sz w:val="17"/>
                <w:szCs w:val="17"/>
                <w:color w:val="auto"/>
              </w:rPr>
            </w:pPr>
          </w:p>
        </w:tc>
        <w:tc>
          <w:tcPr>
            <w:tcW w:w="7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3220" w:type="dxa"/>
            <w:vAlign w:val="bottom"/>
            <w:tcBorders>
              <w:bottom w:val="single" w:sz="8" w:color="0000EE"/>
            </w:tcBorders>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5960" w:type="dxa"/>
            <w:vAlign w:val="bottom"/>
            <w:tcBorders>
              <w:bottom w:val="single" w:sz="8" w:color="CCEEFF"/>
            </w:tcBorders>
            <w:gridSpan w:val="11"/>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178</w:t>
            </w:r>
          </w:p>
        </w:tc>
      </w:tr>
      <w:tr>
        <w:trPr>
          <w:trHeight w:val="203"/>
        </w:trPr>
        <w:tc>
          <w:tcPr>
            <w:tcW w:w="9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179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9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74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w:t>
      </w:r>
      <w:r>
        <w:rPr>
          <w:rFonts w:ascii="Times New Roman" w:cs="Times New Roman" w:eastAsia="Times New Roman" w:hAnsi="Times New Roman"/>
          <w:sz w:val="18"/>
          <w:szCs w:val="18"/>
          <w:color w:val="auto"/>
        </w:rPr>
        <w:t>” means Allseas Group S.A.</w:t>
      </w:r>
    </w:p>
    <w:p>
      <w:pPr>
        <w:spacing w:after="0" w:line="225"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Allseas Warrant</w:t>
      </w:r>
      <w:r>
        <w:rPr>
          <w:rFonts w:ascii="Times New Roman" w:cs="Times New Roman" w:eastAsia="Times New Roman" w:hAnsi="Times New Roman"/>
          <w:sz w:val="18"/>
          <w:szCs w:val="18"/>
          <w:color w:val="auto"/>
        </w:rPr>
        <w:t>” means the warrant held by Allseas to purchase up to 11,578,620 Common Shares, which shall vest upon certain milestones into such number of Common Shares that is based on the formula described therein, and which was assumed by TMC upon the consummation of the Business Combination, in accordance with its terms.</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 means the arrangement under Part 9, Division 5 of the BCBCA on the terms and subject to the conditions set forth in the Plan of Arrangement.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BCBCA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which were consummated on September 9, 2021, including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w:t>
      </w:r>
    </w:p>
    <w:p>
      <w:pPr>
        <w:spacing w:after="0" w:line="182"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Business Combination Agreement, dated as of March 4, 2021, by and among SOAC, NewCo Sub and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closing date of the Business Combination, which occurred on September 9,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Shares</w:t>
      </w:r>
      <w:r>
        <w:rPr>
          <w:rFonts w:ascii="Times New Roman" w:cs="Times New Roman" w:eastAsia="Times New Roman" w:hAnsi="Times New Roman"/>
          <w:sz w:val="18"/>
          <w:szCs w:val="18"/>
          <w:color w:val="auto"/>
        </w:rPr>
        <w:t>” means the Common Shares, without par value, of TMC.</w:t>
      </w:r>
    </w:p>
    <w:p>
      <w:pPr>
        <w:spacing w:after="0" w:line="225" w:lineRule="exact"/>
        <w:rPr>
          <w:sz w:val="20"/>
          <w:szCs w:val="20"/>
          <w:color w:val="auto"/>
        </w:rPr>
      </w:pPr>
    </w:p>
    <w:p>
      <w:pPr>
        <w:ind w:right="7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w:t>
      </w:r>
      <w:r>
        <w:rPr>
          <w:rFonts w:ascii="Times New Roman" w:cs="Times New Roman" w:eastAsia="Times New Roman" w:hAnsi="Times New Roman"/>
          <w:sz w:val="18"/>
          <w:szCs w:val="18"/>
          <w:color w:val="auto"/>
        </w:rPr>
        <w:t>” means DeepGreen Metals Inc., a company existing under the laws of British Columbia, Canada, prior to the consummation of the Arrangement and the Business Combination.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capital stock</w:t>
      </w:r>
      <w:r>
        <w:rPr>
          <w:rFonts w:ascii="Times New Roman" w:cs="Times New Roman" w:eastAsia="Times New Roman" w:hAnsi="Times New Roman"/>
          <w:sz w:val="18"/>
          <w:szCs w:val="18"/>
          <w:color w:val="auto"/>
        </w:rPr>
        <w:t>” means the shares of DeepGreen capital stock outstanding prior to the Business Combination.</w:t>
      </w:r>
    </w:p>
    <w:p>
      <w:pPr>
        <w:spacing w:after="0" w:line="22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Earnout Shares</w:t>
      </w:r>
      <w:r>
        <w:rPr>
          <w:rFonts w:ascii="Times New Roman" w:cs="Times New Roman" w:eastAsia="Times New Roman" w:hAnsi="Times New Roman"/>
          <w:sz w:val="18"/>
          <w:szCs w:val="18"/>
          <w:color w:val="auto"/>
        </w:rPr>
        <w:t>” means the (a) 4,999,973 Class A Special Shares, (b) 9,999,853 Class B Special Shares, (c) 9,999,853 Class C Special Shares, (d) 19,999,855 Class D Special Shares, (e) 19,999,855 Class E Special Shares, (f) 19,999,855 Class F Special Shares, (g) 24,999,860 Class G Special Shares, and (h) 24,999,860 Class H Special Shares, in each case in the capital of TMC, each of which is automatically convertible into Common Shares on a one for one basis (unless adjusted as described herein) if certain price per Common Share thresholds are met as described in “Description of Securities — Special Shares.”</w:t>
      </w:r>
    </w:p>
    <w:p>
      <w:pPr>
        <w:spacing w:after="0" w:line="18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Option</w:t>
      </w:r>
      <w:r>
        <w:rPr>
          <w:rFonts w:ascii="Times New Roman" w:cs="Times New Roman" w:eastAsia="Times New Roman" w:hAnsi="Times New Roman"/>
          <w:sz w:val="18"/>
          <w:szCs w:val="18"/>
          <w:color w:val="auto"/>
        </w:rPr>
        <w:t>” means each option to purchase common shares of DeepGreen granted to a DeepGreen employee, director, or consultant.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DeepGreen shareholder</w:t>
      </w:r>
      <w:r>
        <w:rPr>
          <w:rFonts w:ascii="Times New Roman" w:cs="Times New Roman" w:eastAsia="Times New Roman" w:hAnsi="Times New Roman"/>
          <w:sz w:val="18"/>
          <w:szCs w:val="18"/>
          <w:color w:val="auto"/>
        </w:rPr>
        <w:t>” means each holder of DeepGreen capital stock as of any determination time prior to the Effective Time.</w:t>
      </w:r>
    </w:p>
    <w:p>
      <w:pPr>
        <w:spacing w:after="0" w:line="225"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with respect to the Business Combination, the time on the Closing Date that the Arrangement became effective.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means the Financial Accounting Standards Board.</w:t>
      </w:r>
    </w:p>
    <w:p>
      <w:pPr>
        <w:spacing w:after="0" w:line="225"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aggregate of 6,759,000 Common Shares held by transferees of the Sponsor, Rick Gaenzle, Isaac Barchas and Justin Kelly and their respective transferees.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Shareholders</w:t>
      </w:r>
      <w:r>
        <w:rPr>
          <w:rFonts w:ascii="Times New Roman" w:cs="Times New Roman" w:eastAsia="Times New Roman" w:hAnsi="Times New Roman"/>
          <w:sz w:val="18"/>
          <w:szCs w:val="18"/>
          <w:color w:val="auto"/>
        </w:rPr>
        <w:t>” means the Sponsor and SOAC’s independent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means SOAC’s initial public offering, consummated on May 8, 2020, through the sale of an aggregate of 30,000,000 units at $10.00 per unit.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NewCo Sub</w:t>
      </w:r>
      <w:r>
        <w:rPr>
          <w:rFonts w:ascii="Times New Roman" w:cs="Times New Roman" w:eastAsia="Times New Roman" w:hAnsi="Times New Roman"/>
          <w:sz w:val="18"/>
          <w:szCs w:val="18"/>
          <w:color w:val="auto"/>
        </w:rPr>
        <w:t>” means 1291924 B.C. Unlimited Liability Company, an unlimited liability company existing under the laws of British Columbia, Canada and a wholly owned subsidiary of SOAC.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NORI-D</w:t>
      </w:r>
      <w:r>
        <w:rPr>
          <w:rFonts w:ascii="Times New Roman" w:cs="Times New Roman" w:eastAsia="Times New Roman" w:hAnsi="Times New Roman"/>
          <w:sz w:val="18"/>
          <w:szCs w:val="18"/>
          <w:color w:val="auto"/>
        </w:rPr>
        <w:t>” means the commercialization project of the estimated resources located in NORI Area 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and Articles</w:t>
      </w:r>
      <w:r>
        <w:rPr>
          <w:rFonts w:ascii="Times New Roman" w:cs="Times New Roman" w:eastAsia="Times New Roman" w:hAnsi="Times New Roman"/>
          <w:sz w:val="18"/>
          <w:szCs w:val="18"/>
          <w:color w:val="auto"/>
        </w:rPr>
        <w:t>” means the notice of articles and articles of TMC.</w:t>
      </w:r>
    </w:p>
    <w:p>
      <w:pPr>
        <w:spacing w:after="0" w:line="225" w:lineRule="exact"/>
        <w:rPr>
          <w:sz w:val="20"/>
          <w:szCs w:val="20"/>
          <w:color w:val="auto"/>
        </w:rPr>
      </w:pPr>
    </w:p>
    <w:p>
      <w:pPr>
        <w:ind w:right="64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 means the issuance of an aggregate of 11,030,000 shares of Common Shares pursuant to the Subscription Agreements to the PIPE Investors immediately prior to the Closing, at a purchase price of $10.00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certain institutional and accredited investors who are party to the Subscription Agreements.</w:t>
      </w:r>
    </w:p>
    <w:p>
      <w:pPr>
        <w:spacing w:after="0" w:line="22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 Subscription Agreements</w:t>
      </w:r>
      <w:r>
        <w:rPr>
          <w:rFonts w:ascii="Times New Roman" w:cs="Times New Roman" w:eastAsia="Times New Roman" w:hAnsi="Times New Roman"/>
          <w:sz w:val="18"/>
          <w:szCs w:val="18"/>
          <w:color w:val="auto"/>
        </w:rPr>
        <w:t>” means the subscription agreements, each dated as of March 4, 2021, by and between TMC and the PIPE Investors, pursuant to which TMC issued an aggregate of 11,030,000 Common Shares to the PIPE Investors immediately prior to the Closing at a purchase price of $10.00 per share.</w:t>
      </w:r>
    </w:p>
    <w:p>
      <w:pPr>
        <w:spacing w:after="0" w:line="17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9,500,000 warrants issued to the Sponsor concurrently with SOAC’s initial public offering, each of which is exercisable for one Common Share, now held by transferees of the Sponsor.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SOAC Common Shares included in the units issued in SOAC’s initial public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shareholders</w:t>
      </w:r>
      <w:r>
        <w:rPr>
          <w:rFonts w:ascii="Times New Roman" w:cs="Times New Roman" w:eastAsia="Times New Roman" w:hAnsi="Times New Roman"/>
          <w:sz w:val="18"/>
          <w:szCs w:val="18"/>
          <w:color w:val="auto"/>
        </w:rPr>
        <w:t>” means holders of public shares.</w:t>
      </w:r>
    </w:p>
    <w:p>
      <w:pPr>
        <w:spacing w:after="0" w:line="22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SOAC’s initial public offering, each of which is exercisable for one Common Share, in accordance with its terms.</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means the amended and restated registration rights agreement entered into as of the Closing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TMC, the Sponsor, certain affiliates of the Sponsor, and certain securityholders of Legacy DeepGreen.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“Sarbanes-Oxley Act” </w:t>
      </w:r>
      <w:r>
        <w:rPr>
          <w:rFonts w:ascii="Times New Roman" w:cs="Times New Roman" w:eastAsia="Times New Roman" w:hAnsi="Times New Roman"/>
          <w:sz w:val="18"/>
          <w:szCs w:val="18"/>
          <w:color w:val="auto"/>
        </w:rPr>
        <w:t>means the Sarbanes-Oxley Act of 2002.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w:t>
      </w:r>
      <w:r>
        <w:rPr>
          <w:rFonts w:ascii="Times New Roman" w:cs="Times New Roman" w:eastAsia="Times New Roman" w:hAnsi="Times New Roman"/>
          <w:sz w:val="18"/>
          <w:szCs w:val="18"/>
          <w:color w:val="auto"/>
        </w:rPr>
        <w:t>” means Sustainable Opportunities Acquisition Corp., a Cayman Islands exempted company limited by shares (which, after the Closing is known as TMC the metals company Inc.).</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Ordinary Shares</w:t>
      </w:r>
      <w:r>
        <w:rPr>
          <w:rFonts w:ascii="Times New Roman" w:cs="Times New Roman" w:eastAsia="Times New Roman" w:hAnsi="Times New Roman"/>
          <w:sz w:val="18"/>
          <w:szCs w:val="18"/>
          <w:color w:val="auto"/>
        </w:rPr>
        <w:t>” means the Class A ordinary shares of SOAC, which were redesignated as Common Shares as a result and upon the consummation of the Continuance.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SOAC Class B ordinary shares</w:t>
      </w:r>
      <w:r>
        <w:rPr>
          <w:rFonts w:ascii="Times New Roman" w:cs="Times New Roman" w:eastAsia="Times New Roman" w:hAnsi="Times New Roman"/>
          <w:sz w:val="18"/>
          <w:szCs w:val="18"/>
          <w:color w:val="auto"/>
        </w:rPr>
        <w:t>” means the shares of Class B ordinary shares of SOAC.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Shares</w:t>
      </w:r>
      <w:r>
        <w:rPr>
          <w:rFonts w:ascii="Times New Roman" w:cs="Times New Roman" w:eastAsia="Times New Roman" w:hAnsi="Times New Roman"/>
          <w:sz w:val="18"/>
          <w:szCs w:val="18"/>
          <w:color w:val="auto"/>
        </w:rPr>
        <w:t>” means the DeepGreen Earnout Shares and the Sponsor Earnout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Sustainable Opportunities Holdings LLC, a Delaware limited liability company.</w:t>
      </w:r>
    </w:p>
    <w:p>
      <w:pPr>
        <w:spacing w:after="0" w:line="22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Earnout Shares</w:t>
      </w:r>
      <w:r>
        <w:rPr>
          <w:rFonts w:ascii="Times New Roman" w:cs="Times New Roman" w:eastAsia="Times New Roman" w:hAnsi="Times New Roman"/>
          <w:sz w:val="18"/>
          <w:szCs w:val="18"/>
          <w:color w:val="auto"/>
        </w:rPr>
        <w:t>” means the 500,000 Class I Special Shares and 741,000 Class J Special Shares in the capital of TMC, each of which is automatically convertible into Common Shares on a one for one basis (unless adjusted as described herein) if certain Common Share price thresholds are met as described in “Description of Securities — Special Shares.”</w:t>
      </w:r>
    </w:p>
    <w:p>
      <w:pPr>
        <w:spacing w:after="0" w:line="173"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w:t>
      </w:r>
      <w:r>
        <w:rPr>
          <w:rFonts w:ascii="Times New Roman" w:cs="Times New Roman" w:eastAsia="Times New Roman" w:hAnsi="Times New Roman"/>
          <w:sz w:val="18"/>
          <w:szCs w:val="18"/>
          <w:color w:val="auto"/>
        </w:rPr>
        <w:t>” means TMC the metals company Inc., a British Columbia, Canada corporation (which, prior to consummation of the Business Combination, was known as Sustainable Opportunities Acquisition Corp. (“SOAC” herein)) and, where applicable, its direct and indirect wholly-owned subsidiaries.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TMC Incentive Equity Plan</w:t>
      </w:r>
      <w:r>
        <w:rPr>
          <w:rFonts w:ascii="Times New Roman" w:cs="Times New Roman" w:eastAsia="Times New Roman" w:hAnsi="Times New Roman"/>
          <w:sz w:val="18"/>
          <w:szCs w:val="18"/>
          <w:color w:val="auto"/>
        </w:rPr>
        <w:t>” means the TMC the metals company Inc. 2021 Incentive Equity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means the trust account of SOAC that held the proceeds from SOAC’s initial public offering and the private placement of the Private Placement Warrants.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means the units of SOAC, each consisting of one share of SOAC ordinary shares and one-half (1/2) of one Public Warrant of SOAC.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includes forward-looking statements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prospectus include, but are not limited to, statements about:</w:t>
      </w:r>
    </w:p>
    <w:p>
      <w:pPr>
        <w:spacing w:after="0" w:line="151" w:lineRule="exact"/>
        <w:rPr>
          <w:sz w:val="20"/>
          <w:szCs w:val="20"/>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7"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680" w:right="12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final exploitation regulations that will create the legal and technical framework for exploitation of polymetallic nodules in the Clarion Clipperton Zone of the Pacific Ocean;</w:t>
      </w: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680" w:right="84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680" w:right="820" w:hanging="321"/>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SEC.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Shares,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1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1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Business Combination</w:t>
      </w:r>
    </w:p>
    <w:p>
      <w:pPr>
        <w:spacing w:after="0" w:line="229" w:lineRule="exact"/>
        <w:rPr>
          <w:sz w:val="20"/>
          <w:szCs w:val="20"/>
          <w:color w:val="auto"/>
        </w:rPr>
      </w:pPr>
    </w:p>
    <w:p>
      <w:pPr>
        <w:ind w:right="640" w:firstLine="324"/>
        <w:spacing w:after="0" w:line="257"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 Unlimited Liability Company, an unlimited liability company existing under the laws of British Columbia, Canada (“NewCo Sub”), and DeepGreen Metals Inc., a company existing under the laws of British Columbia, Canada (“Legacy DeepGreen”). In connection with the Business Combination, SOAC changed its name to “TMC the metals company Inc.” (“TMC”).</w:t>
      </w:r>
    </w:p>
    <w:p>
      <w:pPr>
        <w:spacing w:after="0" w:line="18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Business Corporations Act (British Columbia)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of the Company (the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in the notice of articles and articles of the Company;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18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the Closing Date, promptly following the Continuance, pursuant to a court-approved plan of arrangement (the “Plan of Arrangement,” and the arrangement pursuant to such Plan of Arrangement, the “Arrangement”) under the BCBCA, (i) SOAC acquired all of the issued and outstanding common shares in the capital of DeepGreen (the “DeepGreen Common Shares”); (ii) the shareholders and the optionholders of DeepGreen became entitled to receive at the Effective Time, in exchange for their DeepGreen Common Shares and options to purchase DeepGreen Common Shares, as applicable, an aggregate of (a) 229,162,651 Common Shares (which includes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DeepGreen became a wholly-owned subsidiary of the Company; and (iv) DeepGreen and NewCo Sub amalgamated to continue as one unlimited liability company existing under the laws of British Columbia, Canada. In addition, we assumed the Allseas Warrant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of such option immediately prior to the Effective Time divided by the Per Share Consideration, rounded up to the nearest whole cent. The time that the Arrangement became effective is referred to as the “Effective Time.”</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Immediately following the Continuance and prior to the Effective Time, Sustainable Opportunities Holdings LLC, a Delaware limited liability company (the “Sponsor”), exchanged 741,000 Common Shares (which consisted of the SOAC Class B ordinary shares prior to the Continuance) for 500,000 Class I Special Shares (the “Class I Special Shares”) and 741,000 Class J Special Shares, each of which is automatically convertible into Common Shares on a one-for-one basis if certain Common Share price thresholds are met as described herein (the “Class J Special Shares” and, together with the Class I Special Shares, the “Sponsor Earnout Shares” and, collectively with the DeepGreen Earnout Shares, the “Special Shares”).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SOAC entered into Subscription Agreements (the “Subscription Agreements”) with certain investors (the “PIPE Investors”), pursuant to which the PIPE Investors agreed to purchase an aggregate of 11,030,000 Common Shares at a purchase price of $10.00 per share, for aggregate gross proceeds of $110,300,000 (the “PIPE Financing”).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is aggressively pursuing its available remedies with respect to both investors.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number of Common Shares outstanding immediately following the Closing was approximately 224,385,324 comprising</w:t>
      </w:r>
    </w:p>
    <w:p>
      <w:pPr>
        <w:spacing w:after="0" w:line="27" w:lineRule="exact"/>
        <w:rPr>
          <w:sz w:val="20"/>
          <w:szCs w:val="20"/>
          <w:color w:val="auto"/>
        </w:rPr>
      </w:pPr>
    </w:p>
    <w:p>
      <w:pPr>
        <w:ind w:right="12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203,874,981 Common Shares issued to DeepGreen shareholders, (ii) 11,030,000 Common Shares issued in connection with the Closing to the PIPE Investors pursuant to the PIPE Financing, (iii) 6,759,000 Common Shares held by the initial shareholders (which included the Sponsor, Rick Gaenzle, Isaac Barchas and Justin Kelly, the “initial shareholders”) and (iv) 2,721,343 Common Shares held by public shareholders, reflecting redemptions of 27,278,657 Class A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Shares and Public Warrants are listed for trading on Nasdaq under the symbols “TMC” and “TMCWW”,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13 before making a decision to invest in our Common Shares. If any of these risks actually occurs, our business, financial condition and results of operations would likely be materially adversely affected. Some of the risks related our business and industry are summarized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References in the summary below to “we”, “us”, “our” and “the Company” refer to TMC and its subsidiaries.</w:t>
      </w:r>
    </w:p>
    <w:p>
      <w:pPr>
        <w:spacing w:after="0" w:line="225" w:lineRule="exact"/>
        <w:rPr>
          <w:sz w:val="20"/>
          <w:szCs w:val="20"/>
          <w:color w:val="auto"/>
        </w:rPr>
      </w:pPr>
    </w:p>
    <w:p>
      <w:pPr>
        <w:ind w:left="680" w:right="1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numerous regulatory uncertainties which, if not resolved in our favor, would have a material adverse impact on our business.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 development activities are subject to changes in government regulation and political instability.</w:t>
      </w:r>
    </w:p>
    <w:p>
      <w:pPr>
        <w:spacing w:after="0" w:line="22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laws, rules, regulations or policies to which we are subject could have a significant impact on our business.</w:t>
      </w:r>
    </w:p>
    <w:p>
      <w:pPr>
        <w:spacing w:after="0" w:line="161" w:lineRule="exact"/>
        <w:rPr>
          <w:rFonts w:ascii="Times New Roman" w:cs="Times New Roman" w:eastAsia="Times New Roman" w:hAnsi="Times New Roman"/>
          <w:sz w:val="18"/>
          <w:szCs w:val="18"/>
          <w:color w:val="auto"/>
        </w:rPr>
      </w:pPr>
    </w:p>
    <w:p>
      <w:pPr>
        <w:jc w:val="both"/>
        <w:ind w:left="680" w:right="1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environmental liabilities as a result of noncompliance or newly imposed regulations.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grade and quality of the polymetallic nodule deposits that we intend to develop are estimates, and there are no guarantees that such deposits will be suitable for collecting or commercialization.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seafloor polymetallic nodule deposit has ever been commercially collected, and our offshore collection technology and development plans and processes may not be sufficient to accomplish our objectives.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from the contract areas of NORI and TOML are only estimates.</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significant risks, and we may never develop minerals in sufficient grade or quantities to justify commercial operations.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estimates of polymetallic nodule deposits could result in lower-than-expected revenues and higher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there are no assurances that our efforts will be successful.</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market prices of nickel, manganese, copper, cobalt, and other commodities will have a material impact on our ability to achieve commercial success.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demand for nickel, manganese, copper, cobalt, and other commodities.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creating market acceptance for a novel manganese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related to the collection of polymetallic nodules could have a material adverse effect on our business.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nodule collection and onshore processing and refining operations pose inherent risks and costs that may negatively impact our business.</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offshore equipment that we will need to accomplish our objectives has not been manufactured and/or tested.</w:t>
      </w:r>
    </w:p>
    <w:p>
      <w:pPr>
        <w:spacing w:after="0" w:line="225" w:lineRule="exact"/>
        <w:rPr>
          <w:rFonts w:ascii="Times New Roman" w:cs="Times New Roman" w:eastAsia="Times New Roman" w:hAnsi="Times New Roman"/>
          <w:sz w:val="18"/>
          <w:szCs w:val="18"/>
          <w:color w:val="auto"/>
        </w:rPr>
      </w:pPr>
    </w:p>
    <w:p>
      <w:pPr>
        <w:jc w:val="both"/>
        <w:ind w:left="680" w:right="6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and polymetallic nodule collecting activities may be affected by natural hazards,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there can be no assurance that we will be able to commercially develop our resource areas or achieve profitability in the future.</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the success of our business. The loss of key personnel or the hiring of ineffective personnel could negatively impact our operations and profitability.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information technology systems, which are subject to cyber threats, disruption, damage and failure.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risks, some of which may not be covered by our future or existing insurance policies.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6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are accused of infringing, on the intellectual property rights of third parties, it may increase our costs or prevent us from being able to commercialize new products.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have an adverse effect on our business.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7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common shares or other equity securities without shareholder approval, which would dilute your ownership interests and may depress the market price of our common shares.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have become exercisable for our common shares beginning on October 9, 2021, which if exercised, will increase the number of shares eligible for future resale in the public market and result in dilution to our shareholders.</w:t>
      </w:r>
    </w:p>
    <w:p>
      <w:pPr>
        <w:spacing w:after="0" w:line="161"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and Private Warrants will be in the money at the time they become exercisable, and they may expire worthless.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litigation and other risks as a result of the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class action litigation that may adversely affect us, and we may not be successful in our litigation related to non-performing Private Investment in Public Equity (“PIPE”) investors.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debt in the future, and our ability to satisfy our obligations thereunder remains subject to a variety of factors, many of which are not within our control.</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shares and warrants may not be sustained, which would adversely affect the liquidity and price of our securities.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our international operations, which could adversely affect our business.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classified as a passive foreign investment company (“PFIC”) in any taxable year, which could result in adverse U.S. federal income tax consequences to U.S.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SOAC was incorporated on December 18, 2019 as a Cayman Islands exempted company limited by shares and formed for the purpose of effecting a merger, share exchange, asset acquisition, share purchase, reorganization or similar business combination with one or more businesses.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May 8, 2020, SOAC consummated an initial public offering of 30,000,000 units at an offering price of $10.00 per unit, and a private placement with Sponsor of 9,500,000 Private Placement Warrants at an offering price of $1.00 per warrant.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was incorporated under the laws of the Province of British Columbia, Canada in 2011.</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September 9, 2021, SOAC and DeepGreen completed the Business Combination, which included the migration and continuance of SOAC from the Cayman Islands to British Columbia, Canada and the acquisition by SOAC of all of the issued and outstanding common shares in the capital of DeepGreen in exchange for Common Shares and Special Shares, whereby DeepGreen became a wholly-owned subsidiary of the Company; and DeepGreen and NewCo Sub amalgamated to continue as one unlimited liability company existing under the laws of British Columbia, Canada, pursuant to a court-approved plan of arrangement under the BCBCA. As a result, DeepGreen became a wholly owned subsidiary of SOAC, SOAC’s corporate name was changed to TMC the metals company Inc. and the business of DeepGreen became the business of the Company.</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TMC’s principal executive offices are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V6C 2T5, and its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BCBCA.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those of another public company that is not an emerging growth company or is an emerging growth company that has opted out of using the extended transition period, difficult or impossible because of the potential differences in accounting standards used.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closing of SOAC’s initial public offering, (b) in which we have total annual gross revenue of at least $1.07 billion, or (c)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deemed to be a large accelerated filer, which means the market value of our common equity that is held by non-affiliates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or more as of the end of that fiscal year’s second fiscal quarter; and (2) the date on which we have issued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billion in non-convertible debt securities during the prior three-year period. References herein to “emerging growth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6669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666940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Issuer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Shares</w:t>
      </w:r>
    </w:p>
    <w:p>
      <w:pPr>
        <w:spacing w:after="0" w:line="54" w:lineRule="exact"/>
        <w:rPr>
          <w:sz w:val="20"/>
          <w:szCs w:val="20"/>
          <w:color w:val="auto"/>
        </w:rPr>
      </w:pPr>
    </w:p>
    <w:p>
      <w:pPr>
        <w:ind w:left="200" w:right="640" w:hanging="179"/>
        <w:spacing w:after="0" w:line="273" w:lineRule="auto"/>
        <w:rPr>
          <w:sz w:val="20"/>
          <w:szCs w:val="20"/>
          <w:color w:val="auto"/>
        </w:rPr>
      </w:pPr>
      <w:r>
        <w:rPr>
          <w:rFonts w:ascii="Times New Roman" w:cs="Times New Roman" w:eastAsia="Times New Roman" w:hAnsi="Times New Roman"/>
          <w:sz w:val="18"/>
          <w:szCs w:val="18"/>
          <w:color w:val="auto"/>
        </w:rPr>
        <w:t>Common Shares to be issued upon exercise of all Private Placement Warrants and Public Warrants</w:t>
      </w:r>
    </w:p>
    <w:p>
      <w:pPr>
        <w:spacing w:after="0" w:line="2" w:lineRule="exact"/>
        <w:rPr>
          <w:sz w:val="20"/>
          <w:szCs w:val="20"/>
          <w:color w:val="auto"/>
        </w:rPr>
      </w:pPr>
    </w:p>
    <w:p>
      <w:pPr>
        <w:ind w:left="20" w:right="360"/>
        <w:spacing w:after="0" w:line="329" w:lineRule="auto"/>
        <w:rPr>
          <w:sz w:val="20"/>
          <w:szCs w:val="20"/>
          <w:color w:val="auto"/>
        </w:rPr>
      </w:pPr>
      <w:r>
        <w:rPr>
          <w:rFonts w:ascii="Times New Roman" w:cs="Times New Roman" w:eastAsia="Times New Roman" w:hAnsi="Times New Roman"/>
          <w:sz w:val="18"/>
          <w:szCs w:val="18"/>
          <w:color w:val="auto"/>
        </w:rPr>
        <w:t>Common Shares outstanding prior to exercise of all warrants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Resale of Common Shares and warrants</w:t>
      </w:r>
    </w:p>
    <w:p>
      <w:pPr>
        <w:spacing w:after="0" w:line="54" w:lineRule="exact"/>
        <w:rPr>
          <w:sz w:val="20"/>
          <w:szCs w:val="20"/>
          <w:color w:val="auto"/>
        </w:rPr>
      </w:pPr>
    </w:p>
    <w:p>
      <w:pPr>
        <w:ind w:left="200" w:hanging="179"/>
        <w:spacing w:after="0" w:line="253" w:lineRule="auto"/>
        <w:rPr>
          <w:sz w:val="20"/>
          <w:szCs w:val="20"/>
          <w:color w:val="auto"/>
        </w:rPr>
      </w:pPr>
      <w:r>
        <w:rPr>
          <w:rFonts w:ascii="Times New Roman" w:cs="Times New Roman" w:eastAsia="Times New Roman" w:hAnsi="Times New Roman"/>
          <w:sz w:val="18"/>
          <w:szCs w:val="18"/>
          <w:color w:val="auto"/>
        </w:rPr>
        <w:t>Common Shares offered by the Selling Securityholders (representing the Founder Shares, Common Shares that may be issued upon exercise of the Private Placement Warrants, Common Shares issued in the PIPE Financing, Common Shares issued or issuable to certain shareholders of DeepGreen pursuant to the Business Combination Agreement, including Common Shares that may be issued upon the conversion of DeepGreen Earnout Shares, Common Shares issuable upon the conversion of Sponsor Earnout Shares and Common Shares issued to certain service providers to Legacy DeepGreen)</w:t>
      </w:r>
    </w:p>
    <w:p>
      <w:pPr>
        <w:spacing w:after="0" w:line="19" w:lineRule="exact"/>
        <w:rPr>
          <w:sz w:val="20"/>
          <w:szCs w:val="20"/>
          <w:color w:val="auto"/>
        </w:rPr>
      </w:pPr>
    </w:p>
    <w:p>
      <w:pPr>
        <w:ind w:left="200" w:right="60" w:hanging="179"/>
        <w:spacing w:after="0" w:line="273" w:lineRule="auto"/>
        <w:rPr>
          <w:sz w:val="20"/>
          <w:szCs w:val="20"/>
          <w:color w:val="auto"/>
        </w:rPr>
      </w:pPr>
      <w:r>
        <w:rPr>
          <w:rFonts w:ascii="Times New Roman" w:cs="Times New Roman" w:eastAsia="Times New Roman" w:hAnsi="Times New Roman"/>
          <w:sz w:val="18"/>
          <w:szCs w:val="18"/>
          <w:color w:val="auto"/>
        </w:rPr>
        <w:t>Warrants offered by the Selling Securityholders (representing the Private Placement Warrants)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Redemption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Ticker symbols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24,500,000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227,158,455 shares</w:t>
      </w:r>
      <w:r>
        <w:rPr>
          <w:rFonts w:ascii="Times New Roman" w:cs="Times New Roman" w:eastAsia="Times New Roman" w:hAnsi="Times New Roman"/>
          <w:sz w:val="26"/>
          <w:szCs w:val="26"/>
          <w:color w:val="auto"/>
          <w:vertAlign w:val="superscript"/>
        </w:rPr>
        <w:t>(1)</w:t>
      </w: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all 24,500,000 Warrants, assuming the exercise in full of such Warrants for cash.</w:t>
      </w: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264,438,297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9,500,000 Private Placement Warrants</w:t>
      </w:r>
    </w:p>
    <w:p>
      <w:pPr>
        <w:spacing w:after="0" w:line="50" w:lineRule="exact"/>
        <w:rPr>
          <w:sz w:val="20"/>
          <w:szCs w:val="20"/>
          <w:color w:val="auto"/>
        </w:rPr>
      </w:pPr>
    </w:p>
    <w:p>
      <w:pPr>
        <w:ind w:right="640"/>
        <w:spacing w:after="0" w:line="301" w:lineRule="auto"/>
        <w:rPr>
          <w:sz w:val="20"/>
          <w:szCs w:val="20"/>
          <w:color w:val="auto"/>
        </w:rPr>
      </w:pPr>
      <w:r>
        <w:rPr>
          <w:rFonts w:ascii="Times New Roman" w:cs="Times New Roman" w:eastAsia="Times New Roman" w:hAnsi="Times New Roman"/>
          <w:sz w:val="17"/>
          <w:szCs w:val="17"/>
          <w:color w:val="auto"/>
        </w:rPr>
        <w:t>$11.50 per share, subject to adjustment as described herein The Warrants are redeemable in certain circumstances. See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and Warrants to be offered by the Selling Securityholders. With respect to Common Shares underlying the Warrants, we will not receive any proceeds from such shares except with respect to amounts received by us upon exercise of such Warrants to the extent such Warrants are exercised for cash.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are subject to certain restrictions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until the termination of applicable lock-up periods.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 of Distribution — Amended and Restated 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further discussion.</w:t>
      </w:r>
    </w:p>
    <w:p>
      <w:pPr>
        <w:spacing w:after="0" w:line="3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“TMC” and “TMCWW” for the Common Shares and Public Warrants, respectively.</w:t>
      </w:r>
    </w:p>
    <w:p>
      <w:pPr>
        <w:spacing w:after="0" w:line="200" w:lineRule="exact"/>
        <w:rPr>
          <w:sz w:val="20"/>
          <w:szCs w:val="20"/>
          <w:color w:val="auto"/>
        </w:rPr>
      </w:pPr>
    </w:p>
    <w:p>
      <w:pPr>
        <w:sectPr>
          <w:pgSz w:w="11900" w:h="16838" w:orient="portrait"/>
          <w:cols w:equalWidth="0" w:num="2">
            <w:col w:w="4760" w:space="240"/>
            <w:col w:w="4880"/>
          </w:cols>
          <w:pgMar w:left="980" w:top="513" w:right="1039" w:bottom="1440" w:gutter="0" w:footer="0" w:header="0"/>
          <w:type w:val="continuous"/>
        </w:sectPr>
      </w:pPr>
    </w:p>
    <w:p>
      <w:pPr>
        <w:spacing w:after="0" w:line="110" w:lineRule="exact"/>
        <w:rPr>
          <w:sz w:val="20"/>
          <w:szCs w:val="20"/>
          <w:color w:val="auto"/>
        </w:rPr>
      </w:pPr>
    </w:p>
    <w:p>
      <w:pPr>
        <w:ind w:left="460" w:right="240" w:hanging="437"/>
        <w:spacing w:after="0" w:line="266" w:lineRule="auto"/>
        <w:tabs>
          <w:tab w:leader="none" w:pos="4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Shares outstanding as of June 29, 2022. The number of issued and outstanding Common Shares does not include the Common Shares reserved for issuance under the TMC Incentive Equity Plan or our 2021 Employee Stock Purchase Plan or reserved for issuance upon conversion of the Special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prospectus. The trading price of our securities could decline due to any of these risks, and, as a result, you may lose all or part of your investment.</w:t>
      </w:r>
    </w:p>
    <w:p>
      <w:pPr>
        <w:spacing w:after="0" w:line="180"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TMC the metals company Inc. and its subsidiaries following the Business Combination, or to DeepGreen or SOAC prior to the Business Combination, as the case may be.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19 pandemic disrupted ISA meetings and discussions. Once adopted, these regulations will create the legal and technical framework for exploitation of the polymetallic nodules in the NORI, TOML and Marawa contract areas.</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review NORI’s plans of work for the commercial exploitation of polymetallic nodules. In June 2022, another member state submitted a position paper to the ISA urging that the deadline to adopt the regulations be extended for a period of 15 years. Although we believe that the notice submitted by Nauru to the ISA has increased the likelihood that regulations will be adopted that will govern and enable commercial development of polymetallic nodules by mid-2023, there can be no assurances that the adoption of these regulations will not be delayed or halted as a result of the actions of other member states in the ISA.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4"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Even if the ISA timely evaluates such applications(s), our subsidiaries may be required to submit a</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supplementary EIS before obtaining approval. As such, there is a risk that an ISA Exploitation Contract may not be granted by the ISA, may not be granted on a timely basis, or may be granted on uneconomic terms.</w:t>
      </w:r>
    </w:p>
    <w:p>
      <w:pPr>
        <w:spacing w:after="0" w:line="16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82"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relating to the Implementation of Part XI of the UNCLOS of 10 December 1982 (the “1994 Implementation Agreement”) prescribes a relevant framework that the rates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resource development activities are subject to changes in government regulation and political instability.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countries cease such sponsorship, our subsidiaries or their partners (as applicable) would need to seek sponsorship elsewhere, which could impact our operations as a group.</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any of the laws, rules, regulations or policies to which we are subject could have a significant impact on our business.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18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environmental liabilities as a result of noncompliance or newly imposed regulations.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 and Market Risks.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precise form of mineral occurrence, grade, abundance,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surface production vessel will be tested. Although we expect the pilot collection system test to be successful, there can be no assurance that it will be, or that their technology will eventually be adequate for full scale commercial production.</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the Project Zero System. NORI and Allseas intend to equally finance all costs related to developing and getting Project Zero System into production currently. The parties intend to detail and revise these cost estimates in the definitive agreement contemplated by the non-binding term sheet, which the parties expect to enter into no later than December 31, 2022, following the completion of the pilot collection tests.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5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estimates from the contract areas of NORI and TOML are only estimates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risks, and we may never develop minerals in sufficient grade or quantities to justify commercial operations.</w:t>
      </w:r>
    </w:p>
    <w:p>
      <w:pPr>
        <w:spacing w:after="0" w:line="159"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our estimates of polymetallic nodule deposits could result in lower than expected revenues and higher costs.</w:t>
      </w:r>
    </w:p>
    <w:p>
      <w:pPr>
        <w:spacing w:after="0" w:line="22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89" w:lineRule="exact"/>
        <w:rPr>
          <w:sz w:val="20"/>
          <w:szCs w:val="20"/>
          <w:color w:val="auto"/>
        </w:rPr>
      </w:pPr>
    </w:p>
    <w:p>
      <w:pPr>
        <w:ind w:left="680" w:right="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geological, geotechnical, collecting and processing conditions that may not be fully identified by available data or that may differ from experience;</w:t>
      </w:r>
    </w:p>
    <w:p>
      <w:pPr>
        <w:spacing w:after="0" w:line="16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strategic approach to collecting and processing, which will depend in large part on market demand, corporate strategy and other prevailing economic and financial conditions;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312"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39" w:lineRule="exact"/>
        <w:rPr>
          <w:rFonts w:ascii="Times New Roman" w:cs="Times New Roman" w:eastAsia="Times New Roman" w:hAnsi="Times New Roman"/>
          <w:sz w:val="17"/>
          <w:szCs w:val="17"/>
          <w:color w:val="auto"/>
        </w:rPr>
      </w:pPr>
    </w:p>
    <w:p>
      <w:pPr>
        <w:ind w:left="680" w:right="4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there are no assurances that our efforts will be successful.</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Furthermore, several nation states are working on developing polymetallic nodule resources inside their Exclusive Economic Zones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commodity hedging contracts, as we do not yet have any production. Debt financing may not be available on commercially reasonable terms, or at all.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fluctuations in demand for nickel, manganese, copper, cobalt, and other commodities.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creating market acceptance for a novel manganese product.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be producing a novel manganese silicate product which does not yet have recognition in the marketplace with customers. Metallurgical testwork, market studies by CRU International Limited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Additionally, manganese silicate is not a conventional mineral product and may require additional approvals for export and import from our processing facilities to our future customers.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will be diminished if we are unable to compete with substitutions for the minerals that we intend to process.</w:t>
      </w:r>
    </w:p>
    <w:p>
      <w:pPr>
        <w:spacing w:after="0" w:line="15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Technology changes rapidly in the industries and end markets that utilize our materials. If these industries introduce new technologies or products that no longer require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License and Public Perceptions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perceptions related to the offshore collection of polymetallic nodules could have a material adverse effect on our business.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There exist certain negative perceptions related to acquiring metals produced from deep-sea minerals. Some companies in the EV supply chain have recently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growth in the adoption of electric vehicles by consumers may change our strategy and our business and operating results may be impacted.</w:t>
      </w:r>
    </w:p>
    <w:p>
      <w:pPr>
        <w:spacing w:after="0" w:line="15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Given that we have focused part of our operating plan on the sale of nodule-derived battery metals into the EV supply chain, our growth may be affected by the adoption by consumers of EV.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such EV will surge over time, if the market for EV does not develop as we expect, or develops more slowly than we expect, our business and operating results may be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partners may be adversely impacted by pressure and lobbying from non-governmental organizations.</w:t>
      </w:r>
    </w:p>
    <w:p>
      <w:pPr>
        <w:spacing w:after="0" w:line="229"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Like other businesses that operate in the resources industry, our company, and our partners, are subject to pressure and lobbying from non-governmental organizations, particularly with respect to environmental concerns, including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Offshore and Onshore Technology Risks and Operational Risks.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Offshore collection and onshore processing and refining operations pose inherent risks and costs that may negatively impact our business.</w:t>
      </w:r>
    </w:p>
    <w:p>
      <w:pPr>
        <w:spacing w:after="0" w:line="15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Offshore collection and onshore processing and refining operations involve many hazards and uncertainties, including, among others:</w:t>
      </w:r>
    </w:p>
    <w:p>
      <w:pPr>
        <w:spacing w:after="0" w:line="162"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operational challenges in the offshore collection operations and scaling up of such operations;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transferring nodules to transport vessels and delivering nodules to port;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and unexpected maritime conditions;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seafloor conditions;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metallurgical or other processing problems;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conditions, including contamination or leakage;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interruptions due to inclement or hazardous weather conditions or other acts of nature;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 and disruptive action by non-governmental actors opposed to deep-sea mineral extraction;</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labor disputes or work slowdowns;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equipment failure and facility performance problems;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market demand, critical technology and equipment, and skilled labor; and</w:t>
      </w:r>
    </w:p>
    <w:p>
      <w:pPr>
        <w:spacing w:after="0" w:line="9" w:lineRule="exact"/>
        <w:rPr>
          <w:rFonts w:ascii="Times New Roman" w:cs="Times New Roman" w:eastAsia="Times New Roman" w:hAnsi="Times New Roman"/>
          <w:sz w:val="18"/>
          <w:szCs w:val="18"/>
          <w:color w:val="auto"/>
        </w:rPr>
      </w:pPr>
    </w:p>
    <w:p>
      <w:pPr>
        <w:ind w:left="680" w:right="40" w:hanging="321"/>
        <w:spacing w:after="0" w:line="26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suppliers to provide key process inputs like electricity, gas, coal and processing reagents on a timely basis at the prices that have been forecast.</w:t>
      </w:r>
    </w:p>
    <w:p>
      <w:pPr>
        <w:spacing w:after="0" w:line="1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3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0"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17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maintain and develop our existing relationships, or that we will be able to form the new relationships that are required for our business to be successful. For example, our agreement with Maersk to provide marine cruises and management services expired in January 2022, following the completion of the NORI Area D baseline campaigns. 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 Our work with this third party is ongoing and we are in discussions with this party to finalize our agreement with them for their continued services to us, but there can be no assurance that we will be able to secure an agreement with this third party for their continued services, or another third party, on acceptable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the offshore equipment that we will need to accomplish our objectives has not been manufactured and/or tested.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subsidiaries will need to rely on high-value equipment for the offshore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will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 nodules will contain elements or compounds that would render them unsuitable for selected processing and refining flowsheet.</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While Hatch, a global engineering, project management, and professional services firm, has helped us to develop a processing flowsheet with near-zero solid waste and is working with us on a pilot plant program, the actual percentage recovery of metals may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vary significantly from that forecast, and we are in the process of conducting a pilot scale metallurgical test-work program to determine our ability to expand such program into a full operational system.</w:t>
      </w:r>
    </w:p>
    <w:p>
      <w:pPr>
        <w:spacing w:after="0" w:line="162"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Should our offshore nodule collection plans become successful, we intend to develop onshore processing plants or partner with existing onshore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access to renewable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potential tolling facilities to process nodules into two products, manganese silicate and copper-nickel-</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8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Once our subsidiaries have been able to successfully collect the polymetallic nodules, they will be required to transport them to onshore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the registration statement to which this prospectus forms a part.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 Area D on or around 2024, there can be no assurance that it will be able to commercially develop these properties or that it will be able to generate profits in the future.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skilled technicians and engineers may further increase operating costs, which could materially adversely affect our results of operations.</w:t>
      </w:r>
    </w:p>
    <w:p>
      <w:pPr>
        <w:spacing w:after="0" w:line="15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execute on our plans and expand our operations and controls while maintaining effective cost controls.</w:t>
      </w:r>
    </w:p>
    <w:p>
      <w:pPr>
        <w:spacing w:after="0" w:line="15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information technology systems, which are subject to cyber threats, disruption, damage and failure.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risks, some of which may not be covered by our future or existing insurance policies.</w:t>
      </w:r>
    </w:p>
    <w:p>
      <w:pPr>
        <w:spacing w:after="0" w:line="22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w:t>
      </w:r>
    </w:p>
    <w:p>
      <w:pPr>
        <w:spacing w:after="0" w:line="1" w:lineRule="exact"/>
        <w:rPr>
          <w:sz w:val="20"/>
          <w:szCs w:val="20"/>
          <w:color w:val="auto"/>
        </w:rPr>
      </w:pPr>
    </w:p>
    <w:p>
      <w:pPr>
        <w:ind w:right="120" w:firstLine="8"/>
        <w:spacing w:after="0" w:line="253" w:lineRule="auto"/>
        <w:tabs>
          <w:tab w:leader="none" w:pos="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0" w:lineRule="exact"/>
        <w:rPr>
          <w:sz w:val="20"/>
          <w:szCs w:val="20"/>
          <w:color w:val="auto"/>
        </w:rPr>
      </w:pPr>
    </w:p>
    <w:p>
      <w:pPr>
        <w:ind w:left="1000" w:right="440" w:hanging="317"/>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prohibited from, or delayed in, selling or licensing some of our products or using some of our processes unless the patent holder licenses the patent to us, which it is not required to do;</w:t>
      </w: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pay substantial royalties or grant a cross license to our patents to another patent holder; or</w:t>
      </w:r>
    </w:p>
    <w:p>
      <w:pPr>
        <w:spacing w:after="0" w:line="9" w:lineRule="exact"/>
        <w:rPr>
          <w:rFonts w:ascii="Times New Roman" w:cs="Times New Roman" w:eastAsia="Times New Roman" w:hAnsi="Times New Roman"/>
          <w:sz w:val="18"/>
          <w:szCs w:val="18"/>
          <w:color w:val="auto"/>
        </w:rPr>
      </w:pPr>
    </w:p>
    <w:p>
      <w:pPr>
        <w:ind w:left="1000" w:right="360" w:hanging="317"/>
        <w:spacing w:after="0" w:line="26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redesign a product or process so it does not infringe a third-party’s patent, which may not be possible or could require substantial funds and time.</w:t>
      </w:r>
    </w:p>
    <w:p>
      <w:pPr>
        <w:spacing w:after="0" w:line="18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6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an adverse effect on our business.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current COVID-19 pandemic has materially impacted the global economy and commodity and financial markets. The full extent and impact of the COVID-19 pandemic is unknown and to date has included, among other things, extreme volatility in financial markets, a slowdown in economic activity, volatility in commodity prices, strained supply chains, and an increased possibility of a global recession. The response to COVID-19 has led to 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92"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w:t>
      </w:r>
    </w:p>
    <w:p>
      <w:pPr>
        <w:spacing w:after="0" w:line="17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first quarter of 2022, active work comprised of the integration of the collector and riser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completion of harbor testing, offshore dynamic positioning trials and the North Sea drive test. There were some sporadic outbreaks of COVID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while the vessel was docked in Rotterdam requiring isolation of some of the members of the work crews. The project plan was adjusted to minimize the impact on the project’s schedule resulting in little impact to the overall project schedule. Allseas implemented pre-departure COVID protocols and there were no reported COVID incidents during the offshore dynamic positioning trials and the North Sea drive test. The extent to which the COVID-19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Risks and Risks Related to our Securities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will be required to raise additional funds in the future in order to accomplish our objectives. This additional financing may not be available on acceptable terms or at all. Failure to obtain this necessary capital when needed may force us to reduce or terminate our operations.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in order to preserve our capital. The continuing exploration and development of the NORI, TOML and Marawa contract areas, however, will depend upon our ability to obtain dilutive and/or non-dilutive financing through debt financing, equity financing, joint ventures, or other means. Additionally, the actual amount of capital raised for our projects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financing may not be available on acceptable terms or at all. Failure to obtain additional financing on a timely basis could cause us to reduce or terminate our operations. Many groups, including the United Nations Environment Programme Finance Initiative, warn against investing in acitivities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97" w:lineRule="exact"/>
        <w:rPr>
          <w:sz w:val="20"/>
          <w:szCs w:val="20"/>
          <w:color w:val="auto"/>
        </w:rPr>
      </w:pPr>
    </w:p>
    <w:p>
      <w:pPr>
        <w:jc w:val="both"/>
        <w:ind w:right="300" w:firstLine="324"/>
        <w:spacing w:after="0" w:line="289" w:lineRule="auto"/>
        <w:rPr>
          <w:sz w:val="20"/>
          <w:szCs w:val="20"/>
          <w:color w:val="auto"/>
        </w:rPr>
      </w:pPr>
      <w:r>
        <w:rPr>
          <w:rFonts w:ascii="Times New Roman" w:cs="Times New Roman" w:eastAsia="Times New Roman" w:hAnsi="Times New Roman"/>
          <w:sz w:val="17"/>
          <w:szCs w:val="17"/>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which may have an impact on our ability to obtain additional funding.</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June 29, 2022, we had 227,158,455 common shares and 24,500,000 warrants to acquire common shares issued and outstanding.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33,699,685 common shares are reserved for issuance under the TMC Incentive Equity Plan, including 9,017,299 shares added to the plan in January 2022 pursuant to the plan’s evergreen provision, and 5,254,324 common shares are reserved for issuance under our 2021 Employee Stock Purchase Plan,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exercise of warrants, upon conversion of the Special Shares or under the TMC Incentive Equity Plan, or the 2021 Employee Stock Purchase Plan or other equity incentive plans that we may adopt in the future, would dilute the percentage ownership held by you.</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the Company will decrease;</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share may be diminished;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may decline.</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became exercisable for our common shares beginning on October 9, 2021, which if exercised, will increase the number of shares eligible for future resale in the public market and result in dilution to our shareholders. You will likely experience further dilution if we issue common shares in future financing transactions.</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common shares at an exercise price of $11.50 per share. In certain circumstances, the Public Warrants and Private Warrants may be exercised on a cashless basis and the proceeds from the exercise of such warrants will decrease. To the extent such warrants are exercised, additional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the price of our Common Shares has ranged from a high of $12.45 to a low of $1.00 and as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June 29, 2022, the closing price of our Common Shares was $1.00. Based on the current trading price of our Common Shares we do not expect to receive any proceeds from exercise of the Public Warrants and Private Warrants unless there is a significant increase in the price of our Common Shares.</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March 31, 2022,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 Furthermore, even if the warrants will be in the money following the time they become exercisable,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the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 We have taken the following remediation measures to date:</w:t>
      </w:r>
    </w:p>
    <w:p>
      <w:pPr>
        <w:spacing w:after="0" w:line="196"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 Chief Financial Officer and Chief Accounting Officer to oversee the finance and accounting function;</w:t>
      </w:r>
    </w:p>
    <w:p>
      <w:pPr>
        <w:spacing w:after="0" w:line="27" w:lineRule="exact"/>
        <w:rPr>
          <w:rFonts w:ascii="Times New Roman" w:cs="Times New Roman" w:eastAsia="Times New Roman" w:hAnsi="Times New Roman"/>
          <w:sz w:val="18"/>
          <w:szCs w:val="18"/>
          <w:color w:val="auto"/>
        </w:rPr>
      </w:pPr>
    </w:p>
    <w:p>
      <w:pPr>
        <w:ind w:left="680" w:right="4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individuals for the core accounting function with the requisite education, designation, and technical accounting and public company experience;</w:t>
      </w:r>
    </w:p>
    <w:p>
      <w:pPr>
        <w:ind w:left="680" w:right="4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we have the full complement of accounting staff in place, we are utilizing experienced and competent contract accountants to supplement our internal accounting team;</w:t>
      </w:r>
    </w:p>
    <w:p>
      <w:pPr>
        <w:ind w:left="680" w:right="22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plan to bring our finance and accounting function in-house and are nearing completion of the transition from our outsourced accounting service provider;</w:t>
      </w:r>
    </w:p>
    <w:p>
      <w:pPr>
        <w:ind w:left="680" w:right="7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impacts of all new contracts and arrangements through a detailed analysis against accounting standards and technical interpretations;</w:t>
      </w:r>
    </w:p>
    <w:p>
      <w:pPr>
        <w:ind w:left="680" w:right="400" w:hanging="321"/>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thorough analysis of key issues to be addressed, have prioritized these issues and we are now in the process of addressing these issues;</w:t>
      </w: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a project to design and implement robust controls over all our key processes and address all key company risks; and</w:t>
      </w:r>
    </w:p>
    <w:p>
      <w:pPr>
        <w:spacing w:after="0" w:line="9" w:lineRule="exact"/>
        <w:rPr>
          <w:rFonts w:ascii="Times New Roman" w:cs="Times New Roman" w:eastAsia="Times New Roman" w:hAnsi="Times New Roman"/>
          <w:sz w:val="18"/>
          <w:szCs w:val="18"/>
          <w:color w:val="auto"/>
        </w:rPr>
      </w:pPr>
    </w:p>
    <w:p>
      <w:pPr>
        <w:ind w:left="680" w:right="480" w:hanging="321"/>
        <w:spacing w:after="0" w:line="26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adding formality and rigor to our financial reporting process by continuously developing structured roles, policies, processes, procedures and controls.</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response to the material weaknesses, we have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implemented controls are operating effectively. There is no assurance that these initiatives will ultimately have the intended effects. Although much progress has been achieved with the implementation of the above remediation measures, the material weaknesses were not fully remediated as of March 31, 2022.</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the material weaknesses in our internal control over financial reporting.</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restated our financial statements as of and for the three-month period ended March 31, 2021, and as of and for the six-month period ended June 30, 2021 in the unaudited condensed financial statements included in our Quarterly Report on Form 10-Q filed on November 15, 2021 as a result of deficiencies in the design and operation of the financial statement close and reporting controls, including maintaining sufficient written policies and procedures and the need to use appropriate technical expertise when accounting for complex or non-routine transactions.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material weaknesses, the restatements, the change in accounting for the warrants,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Sustainable Opportunities Acquisition Corp., Gerard Barron and Scott Leonard</w:t>
      </w:r>
      <w:r>
        <w:rPr>
          <w:rFonts w:ascii="Times New Roman" w:cs="Times New Roman" w:eastAsia="Times New Roman" w:hAnsi="Times New Roman"/>
          <w:sz w:val="18"/>
          <w:szCs w:val="18"/>
          <w:color w:val="auto"/>
        </w:rPr>
        <w:t>. The complaint alleges that all defendants violated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An amended complaint was filed on May 12, 2022, reflecting substantially similar allegations. We deny any allegations of wrongdoing and we filed a motion to dismiss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w:t>
      </w:r>
      <w:r>
        <w:rPr>
          <w:rFonts w:ascii="Times New Roman" w:cs="Times New Roman" w:eastAsia="Times New Roman" w:hAnsi="Times New Roman"/>
          <w:sz w:val="18"/>
          <w:szCs w:val="18"/>
          <w:i w:val="1"/>
          <w:iCs w:val="1"/>
          <w:color w:val="auto"/>
        </w:rPr>
        <w:t>Sustainable Opportunities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Corp. n/k/a TMC the metals company Inc. v. Ethos Fund I, LP, Ethos GP, LLC, Ethos DeepGreen PIPE, LLC, and Ethos Manager, LLC</w:t>
      </w:r>
      <w:r>
        <w:rPr>
          <w:rFonts w:ascii="Times New Roman" w:cs="Times New Roman" w:eastAsia="Times New Roman" w:hAnsi="Times New Roman"/>
          <w:sz w:val="18"/>
          <w:szCs w:val="18"/>
          <w:color w:val="auto"/>
        </w:rPr>
        <w:t>, Index No. 655527/2021 (N.Y. Sup. Ct.) and</w:t>
      </w:r>
      <w:r>
        <w:rPr>
          <w:rFonts w:ascii="Times New Roman" w:cs="Times New Roman" w:eastAsia="Times New Roman" w:hAnsi="Times New Roman"/>
          <w:sz w:val="18"/>
          <w:szCs w:val="18"/>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Times New Roman" w:cs="Times New Roman" w:eastAsia="Times New Roman" w:hAnsi="Times New Roman"/>
          <w:sz w:val="18"/>
          <w:szCs w:val="18"/>
          <w:color w:val="auto"/>
        </w:rPr>
        <w:t>, Index No. 655528/2021 (N.Y. Sup. Ct.). The operative complaints allege that the investors breached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8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w:t>
      </w:r>
    </w:p>
    <w:p>
      <w:pPr>
        <w:ind w:right="20"/>
        <w:spacing w:after="0" w:line="251" w:lineRule="auto"/>
        <w:rPr>
          <w:sz w:val="20"/>
          <w:szCs w:val="20"/>
          <w:color w:val="auto"/>
        </w:rPr>
      </w:pPr>
      <w:r>
        <w:rPr>
          <w:rFonts w:ascii="Times New Roman" w:cs="Times New Roman" w:eastAsia="Times New Roman" w:hAnsi="Times New Roman"/>
          <w:sz w:val="18"/>
          <w:szCs w:val="18"/>
          <w:color w:val="auto"/>
        </w:rPr>
        <w:t>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5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9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and warrants may not be sustained, which would adversely affect the liquidity and price of our securities.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Nasdaq under the</w:t>
      </w:r>
    </w:p>
    <w:p>
      <w:pPr>
        <w:spacing w:after="0" w:line="27"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color w:val="auto"/>
        </w:rPr>
        <w:t>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57"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680" w:right="140" w:hanging="321"/>
        <w:spacing w:after="0" w:line="250"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which could cause the value of your investment to decline.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and the conflict between Russia and Ukraine),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factors, including variations in our quarterly or annual results of operations, operating results of other companies in the same industry, additions or departures of key management personnel, changes in our earnings estimates (if provided) or failure to meet</w:t>
      </w:r>
    </w:p>
    <w:p>
      <w:pPr>
        <w:ind w:right="60"/>
        <w:spacing w:after="0" w:line="251" w:lineRule="auto"/>
        <w:rPr>
          <w:sz w:val="20"/>
          <w:szCs w:val="20"/>
          <w:color w:val="auto"/>
        </w:rPr>
      </w:pPr>
      <w:r>
        <w:rPr>
          <w:rFonts w:ascii="Times New Roman" w:cs="Times New Roman" w:eastAsia="Times New Roman" w:hAnsi="Times New Roman"/>
          <w:sz w:val="18"/>
          <w:szCs w:val="18"/>
          <w:color w:val="auto"/>
        </w:rPr>
        <w:t>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9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sales of a substantial amount of our common shares after the Business Combination by former SOAC shareholders and/or former legacy DeepGreen shareholders, and these sales could cause the price of our securities to fall.</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at June 29, 2022, we had 227,158,455 common shares and 24,500,000 Warrants to acquire common shares issued and outstanding. In addition, the Allseas Warrant is exercisable for up to 11,600,000 Common Shares subject to the terms and conditions thereof. All of our public shares are freely transferable (subject to any contractual lock-up agreements), except for common shares issued in connection with the PIPE and any shares held by our and legacy DeepGreen’s “affiliates,” as that term is defined in Rule 144 under the Securities Act. Our common shares issued to Sustainable Opportunities Holdings LLC (“Sponsor”) now held by its permitted transferees and the independent directors of SOAC in exchange for their founder shares are subject to certain contractual lock-up agreements. In addition, the initial 180-day lock-up period following the close of the Business Combination recently expired allowing additional shares to become eligible to be sold in the public market. Further, up to 77,277,244 common shares may be issued to the holders upon conversion of the Special Shares if certain price thresholds are met and such common shares could be sold in the public market. Sales of substantial amounts of our common shares in the public market, or the perception that such sales will occur, could adversely affect the market price of our common shares.</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not a reporting issuer in Canada, our common shares and Special Shares may be subject to restrictions on resale in Canada.</w:t>
      </w:r>
    </w:p>
    <w:p>
      <w:pPr>
        <w:spacing w:after="0" w:line="15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offerings held by Canadian Owners will be freely transferable by the Canadian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in our international operations, which could adversely affect our business.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or PFIC, in any taxable year, which could result in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w:t>
      </w:r>
    </w:p>
    <w:p>
      <w:pPr>
        <w:spacing w:after="0" w:line="2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are classified as a PFIC, such status may have adverse U.S. federal income tax consequences to U.S. Holders (as defined in the section titled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2021. However, the application of the PFIC rules is subject to uncertainty in several respects, and we cannot assure you that the U.S. Internal Revenue Service will not take a contrary position. Furthermore, whether we are classified as a PFIC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8"/>
          <w:szCs w:val="18"/>
          <w:i w:val="1"/>
          <w:iCs w:val="1"/>
          <w:color w:val="auto"/>
        </w:rPr>
        <w:t>Material U.S. Federal Income Tax Considerations —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Ownership and Disposition of Common Shares and Public Warrants — Passive Foreign Investment Company Rules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60"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Limitations on the ability to acquire and hold common shares may also be imposed by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and obtain approval of the Minister prior to acquiring control of a “Canadian business” within the meaning of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where prescribed financial thresholds are exceeded.</w:t>
      </w:r>
    </w:p>
    <w:p>
      <w:pPr>
        <w:spacing w:after="0" w:line="17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0"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ind w:right="400" w:firstLine="324"/>
        <w:spacing w:after="0" w:line="289"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Notice and Articles permit us to issue an unlimited number of common shares and preferred shares without seeking approval of the holders of our common shares.</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TMC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 See “</w:t>
      </w:r>
      <w:r>
        <w:rPr>
          <w:rFonts w:ascii="Times New Roman" w:cs="Times New Roman" w:eastAsia="Times New Roman" w:hAnsi="Times New Roman"/>
          <w:sz w:val="18"/>
          <w:szCs w:val="18"/>
          <w:i w:val="1"/>
          <w:iCs w:val="1"/>
          <w:color w:val="auto"/>
        </w:rPr>
        <w:t>Description of TMC Securities – Authorized Shares Capital – Preferred 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All of the Common Shares and Warrants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$281,750,000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offering price of the Common Shares underlying the Warrants offered hereby is determined by reference to the exercise price of the Warrants of $11.50 per share. The Public Warrants are listed on Nasdaq under the symbol “TMCWW.”</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Common Shares or Warrants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and Ticker Symbol</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Common Shares and Public Warrants began trading on The Nasdaq Global Select Market on September 10, 2021 under the symbols “TMC” and “TMCWW,” respectively. Prior to September 10, 2021 and before the completion of the Business Combination, the units, public shares and public warrants of SOAC traded on the New York Stock Exchange under the under the symbols “SOAC.U,” “SOAC” and “SOAC WS,”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closing price of the Common Shares and Public Warrants on June 29, 2022, was $1.00 and $0.18,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As of June 29, 2022, there were approximately 227,158,455 Common Shares issued and outstanding held of record by 114 holders, approximately 15,000,000 Public Warrants held of record by one holder and 9,500,000 private placement warrants issued in connection with SOAC’s initial public offering held of record by 32 holders, each exercisable for one Common Share at a price of $11.50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capital stock to date. The payment of cash dividends in the future will be dependent upon our revenues and earnings, if any, capital requirements and general financial condition. The payment of any cash dividends will be within the discretion of the board of directors at such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OF TMC</w:t>
      </w:r>
    </w:p>
    <w:p>
      <w:pPr>
        <w:spacing w:after="0" w:line="227"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reflects the business of TMC, as currently embodied by TMC. In this section, “we,” “us” and “our” generally refer to TMC in the present tense or TMC from and after the Business Combination.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1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May 26, 2022, we published our first Impact Report, which outlines our mission to create a carefully managed metal commons by unlocking the planet’s largest estimated undeveloped source of high-grade battery metals amid increasing demand for these materials as the world seeks to address the climate crisis. In this report, we outlined the anticipated impacts and mitigation measures for our plans to collect polymetallic nodules from the CCZ. In addition to providing operational and environmental program details, the report breaks down our governance and stakeholder engagement, the regulatory context surrounding the nodule collection industry in international waters, and our relationships with our Pacific Island sponsoring states: Nauru, Tonga and Kiribati.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Polymetallic Nodules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Deep-sea polymetallic nodules form on or just below the sediment-covered seafloor of the abyssal plains. These nodules contain significant amounts of metals, and their unique characteristic compared to terrestrial deposits is the presence of four critical metals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123190</wp:posOffset>
            </wp:positionV>
            <wp:extent cx="5349240" cy="3008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polymetallic nodules in the CCZ possess the following characteristics: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Borders>
              <w:right w:val="single" w:sz="8" w:color="auto"/>
            </w:tcBorders>
          </w:tcPr>
          <w:p>
            <w:pPr>
              <w:spacing w:after="0"/>
              <w:rPr>
                <w:sz w:val="19"/>
                <w:szCs w:val="19"/>
                <w:color w:val="auto"/>
              </w:rPr>
            </w:pPr>
          </w:p>
        </w:tc>
        <w:tc>
          <w:tcPr>
            <w:tcW w:w="4000" w:type="dxa"/>
            <w:vAlign w:val="bottom"/>
            <w:tcBorders>
              <w:top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4940" w:type="dxa"/>
            <w:vAlign w:val="bottom"/>
            <w:tcBorders>
              <w:top w:val="single" w:sz="8" w:color="auto"/>
              <w:bottom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What it means</w:t>
            </w:r>
          </w:p>
        </w:tc>
        <w:tc>
          <w:tcPr>
            <w:tcW w:w="460" w:type="dxa"/>
            <w:vAlign w:val="bottom"/>
          </w:tcPr>
          <w:p>
            <w:pPr>
              <w:spacing w:after="0"/>
              <w:rPr>
                <w:sz w:val="19"/>
                <w:szCs w:val="19"/>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Far removed from human communities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need for social displacement</w:t>
            </w:r>
          </w:p>
        </w:tc>
        <w:tc>
          <w:tcPr>
            <w:tcW w:w="460" w:type="dxa"/>
            <w:vAlign w:val="bottom"/>
          </w:tcPr>
          <w:p>
            <w:pPr>
              <w:spacing w:after="0"/>
              <w:rPr>
                <w:sz w:val="18"/>
                <w:szCs w:val="18"/>
                <w:color w:val="auto"/>
              </w:rPr>
            </w:pPr>
          </w:p>
        </w:tc>
      </w:tr>
      <w:tr>
        <w:trPr>
          <w:trHeight w:val="191"/>
        </w:trPr>
        <w:tc>
          <w:tcPr>
            <w:tcW w:w="5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vegetation or other obstructions covering access to</w:t>
            </w:r>
          </w:p>
        </w:tc>
        <w:tc>
          <w:tcPr>
            <w:tcW w:w="494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need to remove overburden, no rock cutting or blasting</w:t>
            </w:r>
          </w:p>
        </w:tc>
        <w:tc>
          <w:tcPr>
            <w:tcW w:w="460" w:type="dxa"/>
            <w:vAlign w:val="bottom"/>
          </w:tcPr>
          <w:p>
            <w:pPr>
              <w:spacing w:after="0"/>
              <w:rPr>
                <w:sz w:val="16"/>
                <w:szCs w:val="16"/>
                <w:color w:val="auto"/>
              </w:rPr>
            </w:pPr>
          </w:p>
        </w:tc>
      </w:tr>
      <w:tr>
        <w:trPr>
          <w:trHeight w:val="234"/>
        </w:trPr>
        <w:tc>
          <w:tcPr>
            <w:tcW w:w="520" w:type="dxa"/>
            <w:vAlign w:val="bottom"/>
            <w:tcBorders>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nodules</w:t>
            </w:r>
          </w:p>
        </w:tc>
        <w:tc>
          <w:tcPr>
            <w:tcW w:w="4940" w:type="dxa"/>
            <w:vAlign w:val="bottom"/>
            <w:tcBorders>
              <w:bottom w:val="single" w:sz="8" w:color="auto"/>
              <w:right w:val="single" w:sz="8" w:color="auto"/>
            </w:tcBorders>
            <w:shd w:val="clear" w:color="auto" w:fill="A9AAAD"/>
          </w:tcPr>
          <w:p>
            <w:pPr>
              <w:spacing w:after="0"/>
              <w:rPr>
                <w:sz w:val="20"/>
                <w:szCs w:val="20"/>
                <w:color w:val="auto"/>
              </w:rPr>
            </w:pPr>
          </w:p>
        </w:tc>
        <w:tc>
          <w:tcPr>
            <w:tcW w:w="460" w:type="dxa"/>
            <w:vAlign w:val="bottom"/>
          </w:tcPr>
          <w:p>
            <w:pPr>
              <w:spacing w:after="0"/>
              <w:rPr>
                <w:sz w:val="20"/>
                <w:szCs w:val="20"/>
                <w:color w:val="auto"/>
              </w:rPr>
            </w:pPr>
          </w:p>
        </w:tc>
      </w:tr>
      <w:tr>
        <w:trPr>
          <w:trHeight w:val="191"/>
        </w:trPr>
        <w:tc>
          <w:tcPr>
            <w:tcW w:w="5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Unattached to the seafloor, 90% of nodule mass in the</w:t>
            </w:r>
          </w:p>
        </w:tc>
        <w:tc>
          <w:tcPr>
            <w:tcW w:w="4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need for destructive rock cutting and excavation</w:t>
            </w:r>
          </w:p>
        </w:tc>
        <w:tc>
          <w:tcPr>
            <w:tcW w:w="460" w:type="dxa"/>
            <w:vAlign w:val="bottom"/>
          </w:tcPr>
          <w:p>
            <w:pPr>
              <w:spacing w:after="0"/>
              <w:rPr>
                <w:sz w:val="16"/>
                <w:szCs w:val="16"/>
                <w:color w:val="auto"/>
              </w:rPr>
            </w:pPr>
          </w:p>
        </w:tc>
      </w:tr>
      <w:tr>
        <w:trPr>
          <w:trHeight w:val="234"/>
        </w:trPr>
        <w:tc>
          <w:tcPr>
            <w:tcW w:w="520" w:type="dxa"/>
            <w:vAlign w:val="bottom"/>
            <w:tcBorders>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top 5 cm</w:t>
            </w:r>
          </w:p>
        </w:tc>
        <w:tc>
          <w:tcPr>
            <w:tcW w:w="4940" w:type="dxa"/>
            <w:vAlign w:val="bottom"/>
            <w:tcBorders>
              <w:bottom w:val="single" w:sz="8" w:color="auto"/>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r>
      <w:tr>
        <w:trPr>
          <w:trHeight w:val="209"/>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High grades of four critical metals in a single ore</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Four times less mass to process compared to land ores</w:t>
            </w:r>
          </w:p>
        </w:tc>
        <w:tc>
          <w:tcPr>
            <w:tcW w:w="46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 head-grade variability</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process</w:t>
            </w:r>
          </w:p>
        </w:tc>
        <w:tc>
          <w:tcPr>
            <w:tcW w:w="460" w:type="dxa"/>
            <w:vAlign w:val="bottom"/>
          </w:tcPr>
          <w:p>
            <w:pPr>
              <w:spacing w:after="0"/>
              <w:rPr>
                <w:sz w:val="18"/>
                <w:szCs w:val="18"/>
                <w:color w:val="auto"/>
              </w:rPr>
            </w:pPr>
          </w:p>
        </w:tc>
      </w:tr>
      <w:tr>
        <w:trPr>
          <w:trHeight w:val="209"/>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2-10 cm diameter</w:t>
            </w:r>
          </w:p>
        </w:tc>
        <w:tc>
          <w:tcPr>
            <w:tcW w:w="494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Potentially easy to handle</w:t>
            </w:r>
          </w:p>
        </w:tc>
        <w:tc>
          <w:tcPr>
            <w:tcW w:w="460" w:type="dxa"/>
            <w:vAlign w:val="bottom"/>
          </w:tcPr>
          <w:p>
            <w:pPr>
              <w:spacing w:after="0"/>
              <w:rPr>
                <w:sz w:val="18"/>
                <w:szCs w:val="18"/>
                <w:color w:val="auto"/>
              </w:rPr>
            </w:pPr>
          </w:p>
        </w:tc>
      </w:tr>
      <w:tr>
        <w:trPr>
          <w:trHeight w:val="210"/>
        </w:trPr>
        <w:tc>
          <w:tcPr>
            <w:tcW w:w="520" w:type="dxa"/>
            <w:vAlign w:val="bottom"/>
            <w:tcBorders>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Microporous</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smelt</w:t>
            </w:r>
          </w:p>
        </w:tc>
        <w:tc>
          <w:tcPr>
            <w:tcW w:w="460" w:type="dxa"/>
            <w:vAlign w:val="bottom"/>
          </w:tcPr>
          <w:p>
            <w:pPr>
              <w:spacing w:after="0"/>
              <w:rPr>
                <w:sz w:val="18"/>
                <w:szCs w:val="18"/>
                <w:color w:val="auto"/>
              </w:rPr>
            </w:pPr>
          </w:p>
        </w:tc>
      </w:tr>
      <w:tr>
        <w:trPr>
          <w:trHeight w:val="641"/>
        </w:trPr>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4"/>
                <w:szCs w:val="24"/>
                <w:color w:val="auto"/>
              </w:rPr>
            </w:pPr>
          </w:p>
        </w:tc>
      </w:tr>
      <w:tr>
        <w:trPr>
          <w:trHeight w:val="547"/>
        </w:trPr>
        <w:tc>
          <w:tcPr>
            <w:tcW w:w="5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Very low concentrations of hazardous elements like arsenic, antimony and mercury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Potential to productize 100% of nodule mass and design a metallurgical flowsheet that generates no tailings and leaves nearly no solid waste streams behind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-433070</wp:posOffset>
            </wp:positionV>
            <wp:extent cx="5666105" cy="428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6105" cy="42862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240" w:space="260"/>
            <w:col w:w="5420"/>
          </w:cols>
          <w:pgMar w:left="980" w:top="513" w:right="999" w:bottom="1440" w:gutter="0" w:footer="0" w:header="0"/>
          <w:type w:val="continuous"/>
        </w:sect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U.S., we can also compress the current supply chain of 50,000 miles that some materials need to travel before reaching U.S. down to 1,500 miles, while reducing dependency on China which dominates refining for battery metals like nickel and cobalt.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2021 study by the International Energy Agency shows that the production of clean energy transition minerals could increase by 600% by 2040 to meet the growing demand for clean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sustained increases in metal prices should land-based ores remain the only viable source of critical metals, or a more aggressive shift to alternative battery chemistries.</w:t>
      </w:r>
    </w:p>
    <w:p>
      <w:pPr>
        <w:spacing w:after="0" w:line="189"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Industries which represent an end-use segment that may require all four critical metals contained in nodules are of particular interest to us and represents potential market opportunities. Most notably, nodules contain metals that can be employed as: (i) feedstock for battery cathode precursors (nickel-copper-cobalt matte and/or nickel and cobalt sulfates) for EV and renewable energy storage markets,</w:t>
      </w:r>
    </w:p>
    <w:p>
      <w:pPr>
        <w:spacing w:after="0" w:line="1" w:lineRule="exact"/>
        <w:rPr>
          <w:sz w:val="20"/>
          <w:szCs w:val="20"/>
          <w:color w:val="auto"/>
        </w:rPr>
      </w:pPr>
    </w:p>
    <w:p>
      <w:pPr>
        <w:ind w:right="760" w:firstLine="8"/>
        <w:spacing w:after="0" w:line="260"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nickel-copper-cobalt matte and/or copper cathode for EV wiring, clean energy transmission and other applications, and (iii) manganese silicate for manganese alloy production required for steel production. See Section – </w:t>
      </w:r>
      <w:r>
        <w:rPr>
          <w:rFonts w:ascii="Times New Roman" w:cs="Times New Roman" w:eastAsia="Times New Roman" w:hAnsi="Times New Roman"/>
          <w:sz w:val="18"/>
          <w:szCs w:val="18"/>
          <w:i w:val="1"/>
          <w:iCs w:val="1"/>
          <w:color w:val="auto"/>
        </w:rPr>
        <w:t>Competitive Strengths.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Global</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believe there will be significant growth in EV demand, with many countries committing to phasing out cars that burn fossil fuels and many original equipment manufacturers (“OEMs”) devoting significant resources to the electrification of their vehicle offerings. Furthermore, at the UN Climate Change Conference (COP26) October 2021 meeting in Glasgow, Scotland, governments and major automakers signed a declaration to accelerate the transition to 100% zero-emissions cars and vans by committing to that target by 2040 globally and by 2035 in leading markets. We believe this transition to clean energy and EVs will test the limits of the supply of certain metals where EVs require several times more of these metals (such as nickel, cobalt and copper) than cars with internal combustion engines.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360045</wp:posOffset>
            </wp:positionV>
            <wp:extent cx="5554980" cy="3129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54980" cy="312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Metals and EV Market Opportunity - USA</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August 2021, the United States (“U.S.”) government announced a target of 50% EV sales by 2030. The announcement was followed by a ramp-up of industry commitments to build battery cell manufacturing gigafactories, which are capable of producing large amounts of battery capacity through the entire manufacturing process, in the U.S. which when aggregated with existing gigafactory plans would according to Benchmark Minerals Intelligence represent approximately 703GWh of capacity.</w:t>
      </w:r>
    </w:p>
    <w:p>
      <w:pPr>
        <w:spacing w:after="0" w:line="18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14ktpa of Class 1 nickel, 0.5ktpa of cobalt, and zero primary production of manganese. Across our NORI and TOML contract areas, we have identified 5,555kt of nickel, 813kt of cobalt and 123,920kt of manganese plus 4,709kt of copper, with the potential to take the U.S. from zero or de minimis production of the three namesake elements in the most prominent battery cathode (NMC) to near self-sufficiency or potentially a net export position in each. The opportunity to use seafloor nodule resources to secure battery metal supply lines was recently emphasized in a letter sent to the U.S. Secretary of Defense by 17 retired generals, admirals which echoed similar sentiments to Senator Lisa Murkowski of Alaska who in February 2021 wrote to the U.S. Secretary of Energy, to say that “new and abundant sources of supply, such as polymetallic nodules, offer a pathway to mineral security for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Market Opportunity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nickel, cobalt, copper and manganese going into EVs today are produced from land-based ores or recycled scrap. Existing metal stocks available for recycling are insufficient to meet current demand. Even with high end-of-life product recycling rates, most of the new demand over the coming decades will have to be met by new mining. We believe the land mining sector is fundamentally challenged —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 a real challenge on seismically active and wet tropical islands in countries like Indonesia that is expected to account for most of future growth in nickel supply.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Although as a result of a vigorous campaign by several non-governmental organizations, several participants in the EV supply chain including Volvo, BMW, Volkswagen and Samsung SDI have recently signed a call for a general precautionary moratorium on all forms of deep seabed mining until all other alternative sources are sufficiently explored and research has clearly demonstrated that deep seabed mining activities can be managed in a way that ensures effective protection of the marine environment we believe that battery metal production specifically from deep-sea polymetallic nodules provides an opportunity to significantly compress most lifecycle environmental, social and governance (ESG) impacts associated with conventional metal production from land-based ores.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quantify comparative ESG footprints of metal production from nodules as compared to conventional land ores, we commissioned several lifecycle assessments (“LCAs”) looking at the cradle-to-gate impacts of producing nickel, copper, cobalt and manganese products for “1 billion EVs by 2050” scenario. An LCA white paper looking at a comprehensive set of impacts was commissioned by us and co-authored by certain of our executive officers in 2018 and reviewed by subject matter specialists and published on our website in</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April 2020, an LCA research paper focusing on climate change impacts was peer-reviewed and published in the Elsevier Journal of Cleaner Production in December 2020 and an LCA research paper focusing on solid waste streams was peer-reviewed and was published in the Yale Journal of Industrial Ecology in January 2022. Based on these LCA assessments that we commissioned and certain of our executive officers co-authored, we believe that we are positioned to become one of the lowest ESG footprint metal companies in the industry, offering an expected 70-99% reduction of most lifecycle ESG impacts as outlined in the table below. While most of these reductions are attributable to the unique characteristics of the polymetallic nodule resource as described above, the elimination of solid processing waste streams onshore is due to our investment in a near-zero-waste flowsheet design and low carbon emissions are due to our commitment to locate onshore processing facilities in places with access to 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134620</wp:posOffset>
            </wp:positionV>
            <wp:extent cx="4440555" cy="4397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4055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Uncertainty around each LCA indicator is discussed at length in the April 2020 white paper, the December 2020 climate change impacts paper and January 2022 waste impacts paper. Land-based estimates were derived from public LCA databases that contain robust data for metals like nickel and copper; estimates for metals like manganese and cobalt where data in public LCA databases was sparse were augmented with more recent data from peer-reviewed research. Nodule-related estimates were based on technical scoping studies for our offshore and onshore production system that formed the basis of the Canadian NI-43-101 compliant preliminary economic assessment for NORI Area D (2019). The indicators with the highest level of uncertainty for both supply scenarios — land ores and nodules — were impacts on biodiversity and the risk of biodiversity loss. This type of data is not captured in public LCA databases and is further complicated by methodological difficulties of comparing marine and terrestrial life.</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CCZ abyssal plains are one of the most common and least populated habitats on the planet, akin to barren deserts on land. The CCZ abyssal seafloor is plant-free, food-poor and dominated by bacterial life forms. It has been studied extensively since the 1960s with over 13,000 papers published on polymetallic nodules in general and over 1,500 on CCZ nodules in particular. Still more research is underway. We, through our subsidiaries, completed 18 campaigns totaling 710 days at sea.</w:t>
      </w:r>
    </w:p>
    <w:p>
      <w:pPr>
        <w:spacing w:after="0" w:line="18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largest driver of uncertainty is our ability to measure biodiversity itself. Unlike biodiversity, biomass, measured as carbon contained in live organisms per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habitat, is easier to measure and compare. We believe that the CCZ is one of lowest biomass places on the planet. Metal production from nodules will reduce biomass at risk by over 90% compared to producing the same amount of metals from conventional land ores. Biodiversity, defined as species richness, however, is much harder to measure. We believe the assessment of biodiversity in the CCZ is similar to measuring biodiversity on land where a large portion of species remains undescribed despite 250 years of taxonomic classification effort.</w:t>
      </w:r>
    </w:p>
    <w:p>
      <w:pPr>
        <w:spacing w:after="0" w:line="192"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As a precautionary environmental management and protection measure, the ISA has already set aside 1.97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or 43% of the CCZ as protected areas, or Areas of Particular Environmental Interest (APEIs) aiming to ensure that all types of habitats that could be impacted by exploitation are represented within APEIs. For comparison, only 7.7% of global oceans are protected today and the global targets currently being discussed by certain stakeholders aim to protect 30% of the oceans by 2030. Additional marine impact mitigation measures such as setting aside more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in order to design plans that could mitigate marine impacts of nodule collection through collection system design and adaptive management systems.</w:t>
      </w:r>
    </w:p>
    <w:p>
      <w:pPr>
        <w:spacing w:after="0" w:line="189" w:lineRule="exact"/>
        <w:rPr>
          <w:sz w:val="20"/>
          <w:szCs w:val="20"/>
          <w:color w:val="auto"/>
        </w:rPr>
      </w:pPr>
    </w:p>
    <w:p>
      <w:pPr>
        <w:jc w:val="both"/>
        <w:ind w:right="60" w:firstLine="324"/>
        <w:spacing w:after="0" w:line="193" w:lineRule="auto"/>
        <w:rPr>
          <w:sz w:val="20"/>
          <w:szCs w:val="20"/>
          <w:color w:val="auto"/>
        </w:rPr>
      </w:pPr>
      <w:r>
        <w:rPr>
          <w:rFonts w:ascii="Times New Roman" w:cs="Times New Roman" w:eastAsia="Times New Roman" w:hAnsi="Times New Roman"/>
          <w:sz w:val="18"/>
          <w:szCs w:val="18"/>
          <w:color w:val="auto"/>
        </w:rPr>
        <w:t>It is also worth noting that if the entire CCZ area currently under exploration (1.28 million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were to be exploited over a 30-year period, these nodule collection operations would impact 42,500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abyssal seafloor per year in one of the least productive areas of the ocean (with respect to the abundance of marine life). This is less than 1% of the estimated 4,900,000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the seafloor currently impacted every year by trawling operations that take place primarily in highly productive coastal waters.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360045</wp:posOffset>
            </wp:positionV>
            <wp:extent cx="5846445" cy="3120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644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Potential future commercial-scale nodule collection operations in the CCZ are certain to disturb wildlife in the operating area. The nature and severity of these impacts on CCZ wildlife are expected to vary by species and are currently subject to significant uncertainty. Our studies baselining wildlife and ecosystem function, piloting the nodule collection system and assessing impacts arising from the use of this system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For the same reasons, it may also not be possible to definitively establish whether the impact of nodule collection on global biodiversity will be less significant than those estimated for land-based mining for a similar amount of produced metal.</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the necessary permitting and licenses necessary to commence commercial-scale nodule collection operations in the CCZ nor have we obtained the applicable environmental permits and other permits required to build and operate commercial scale polymetallic nodule processing and refining plants on land.</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extractive industries result in impacts to the receiving environment. Nodule collection is no exception and will impact the deep-sea marine environment through nodule removal, disturbance of seafloor sediment and return of seawater used for nodule transport that is expected to contain residual sediment and nodule fines back in the water column (“plumes”). Baselining the impacted marine environment by characterizing the ecosystem and then developing measures to avoid and mitigate these impacts is the central focus of our Environmental and Social Impact Assessment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zones set aside by us and (2) the extent to which residual nodule cover will aid recruitment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recovery of these species in impacted areas. Disturbance of the seafloor by collector robots is expected to disturb (mostly microbial) organisms living in and on the sediments. Impact severity will depend on the depth of sediment disturbance (expected to be approximately 5 cm based on modelling, lab tests, and recent collector tests completed in the CCZ by two other nodule contract-holders, Belgium’s Global Sea Mineral Resources NV(GSR) and the German’s BGR) and the impact this disturbance has on benthic ecosystem function. Over 90% of the entrained sediment is expected to be separated from nodules inside the collector robot and discharged behind the collector robot,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robot will be transported with nodules and seawater through the riser pipe to the surface production vessel where nodules get dewatered and residual water, sediment and nodules fines will be returned at some depth in the water column below the highly populated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are well positioned to meet the growing demand for critical battery metals:</w:t>
      </w:r>
    </w:p>
    <w:p>
      <w:pPr>
        <w:spacing w:after="0" w:line="221" w:lineRule="exact"/>
        <w:rPr>
          <w:sz w:val="20"/>
          <w:szCs w:val="20"/>
          <w:color w:val="auto"/>
        </w:rPr>
      </w:pPr>
    </w:p>
    <w:p>
      <w:pPr>
        <w:ind w:left="680" w:hanging="321"/>
        <w:spacing w:after="0" w:line="25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Increasing demand</w:t>
      </w:r>
      <w:r>
        <w:rPr>
          <w:rFonts w:ascii="Times New Roman" w:cs="Times New Roman" w:eastAsia="Times New Roman" w:hAnsi="Times New Roman"/>
          <w:sz w:val="18"/>
          <w:szCs w:val="18"/>
          <w:color w:val="auto"/>
        </w:rPr>
        <w:t>: The response to the climate change crisis is accelerating demand for EVs, renewable energy storage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In August 2021, the U.S. government announced a target of 50% EV sales by 2030. The announcement was followed by a ramp-up of industry commitments to build battery cell manufacturing gigafactories in the U.S. In October 2021, most of the world’s nations and automakers at COP26 in Glasgow committed to 100% EV sales by 2035 in leading markets and by 2040 globally. To manufacture battery cells, gigafactories will need critical battery metals like nickel, cobalt, manganese and copper to meet rising battery demand.</w:t>
      </w:r>
    </w:p>
    <w:p>
      <w:pPr>
        <w:spacing w:after="0" w:line="182" w:lineRule="exact"/>
        <w:rPr>
          <w:rFonts w:ascii="Times New Roman" w:cs="Times New Roman" w:eastAsia="Times New Roman" w:hAnsi="Times New Roman"/>
          <w:sz w:val="18"/>
          <w:szCs w:val="18"/>
          <w:color w:val="auto"/>
        </w:rPr>
      </w:pPr>
    </w:p>
    <w:p>
      <w:pPr>
        <w:ind w:left="680" w:right="10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Rising battery metal and battery cell prices: </w:t>
      </w:r>
      <w:r>
        <w:rPr>
          <w:rFonts w:ascii="Times New Roman" w:cs="Times New Roman" w:eastAsia="Times New Roman" w:hAnsi="Times New Roman"/>
          <w:sz w:val="18"/>
          <w:szCs w:val="18"/>
          <w:color w:val="auto"/>
        </w:rPr>
        <w:t>Commodity prices for metals like nickel and copper have recently 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multi-year highs and battery cell production costs are rising for the first time since the introduction of gigafactories going back in 2014.</w:t>
      </w:r>
    </w:p>
    <w:p>
      <w:pPr>
        <w:spacing w:after="0" w:line="170" w:lineRule="exact"/>
        <w:rPr>
          <w:rFonts w:ascii="Times New Roman" w:cs="Times New Roman" w:eastAsia="Times New Roman" w:hAnsi="Times New Roman"/>
          <w:sz w:val="18"/>
          <w:szCs w:val="18"/>
          <w:color w:val="auto"/>
        </w:rPr>
      </w:pPr>
    </w:p>
    <w:p>
      <w:pPr>
        <w:ind w:left="680" w:right="40" w:hanging="321"/>
        <w:spacing w:after="0" w:line="26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of abundant and high-grade resource off the U.S. western seaboard: </w:t>
      </w:r>
      <w:r>
        <w:rPr>
          <w:rFonts w:ascii="Times New Roman" w:cs="Times New Roman" w:eastAsia="Times New Roman" w:hAnsi="Times New Roman"/>
          <w:sz w:val="18"/>
          <w:szCs w:val="18"/>
          <w:color w:val="auto"/>
        </w:rPr>
        <w:t>There are four critical battery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(nickel, copper, cobalt and manganese) in relatively high concentrations in a single nodule resource and we believe our contract areas have estimated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quantities of these metals in quantities equivalent to the requirement for 280 million EVs, roughly the size of the entire U.S. passenger vehicle fleet on the road today.</w:t>
      </w:r>
    </w:p>
    <w:p>
      <w:pPr>
        <w:spacing w:after="0" w:line="176" w:lineRule="exact"/>
        <w:rPr>
          <w:rFonts w:ascii="Times New Roman" w:cs="Times New Roman" w:eastAsia="Times New Roman" w:hAnsi="Times New Roman"/>
          <w:sz w:val="18"/>
          <w:szCs w:val="18"/>
          <w:color w:val="auto"/>
        </w:rPr>
      </w:pPr>
    </w:p>
    <w:p>
      <w:pPr>
        <w:ind w:left="680" w:right="120" w:hanging="321"/>
        <w:spacing w:after="0" w:line="25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re-shore battery metal production in the U.S.: </w:t>
      </w:r>
      <w:r>
        <w:rPr>
          <w:rFonts w:ascii="Times New Roman" w:cs="Times New Roman" w:eastAsia="Times New Roman" w:hAnsi="Times New Roman"/>
          <w:sz w:val="18"/>
          <w:szCs w:val="18"/>
          <w:color w:val="auto"/>
        </w:rPr>
        <w:t>Current supply chain of battery materials to the U.S.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estimated resource is 1,300 nautical miles from San Diego and we believe we can eventually process and refine our polymetallic nodules in the U.S. which could potentially decrease the supply chain in the U.S. to 1,500 miles.</w:t>
      </w:r>
    </w:p>
    <w:p>
      <w:pPr>
        <w:spacing w:after="0" w:line="182" w:lineRule="exact"/>
        <w:rPr>
          <w:rFonts w:ascii="Times New Roman" w:cs="Times New Roman" w:eastAsia="Times New Roman" w:hAnsi="Times New Roman"/>
          <w:sz w:val="18"/>
          <w:szCs w:val="18"/>
          <w:color w:val="auto"/>
        </w:rPr>
      </w:pPr>
    </w:p>
    <w:p>
      <w:pPr>
        <w:ind w:left="68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assets and skills: </w:t>
      </w:r>
      <w:r>
        <w:rPr>
          <w:rFonts w:ascii="Times New Roman" w:cs="Times New Roman" w:eastAsia="Times New Roman" w:hAnsi="Times New Roman"/>
          <w:sz w:val="18"/>
          <w:szCs w:val="18"/>
          <w:color w:val="auto"/>
        </w:rPr>
        <w:t>We believe the downturn in new offshore oil and gas exploration is creating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opportunity for us to partner with offshore service providers with deep operational experience in subsea environments gained in the oil and gas industry and with existing assets that can be repurposed for our offshore operations.</w:t>
      </w:r>
    </w:p>
    <w:p>
      <w:pPr>
        <w:spacing w:after="0" w:line="170" w:lineRule="exact"/>
        <w:rPr>
          <w:rFonts w:ascii="Times New Roman" w:cs="Times New Roman" w:eastAsia="Times New Roman" w:hAnsi="Times New Roman"/>
          <w:sz w:val="18"/>
          <w:szCs w:val="18"/>
          <w:color w:val="auto"/>
        </w:rPr>
      </w:pPr>
    </w:p>
    <w:p>
      <w:pPr>
        <w:ind w:left="680" w:right="28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production cost: </w:t>
      </w:r>
      <w:r>
        <w:rPr>
          <w:rFonts w:ascii="Times New Roman" w:cs="Times New Roman" w:eastAsia="Times New Roman" w:hAnsi="Times New Roman"/>
          <w:sz w:val="18"/>
          <w:szCs w:val="18"/>
          <w:color w:val="auto"/>
        </w:rPr>
        <w:t>At our potential steady state production (expected to be approximately 12.5Mtpa of wet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from 2030 to 2045), we expect to be the second lowest cost nickel producer in the world (which includes the sale of byproducts).</w:t>
      </w:r>
    </w:p>
    <w:p>
      <w:pPr>
        <w:spacing w:after="0" w:line="170" w:lineRule="exact"/>
        <w:rPr>
          <w:rFonts w:ascii="Times New Roman" w:cs="Times New Roman" w:eastAsia="Times New Roman" w:hAnsi="Times New Roman"/>
          <w:sz w:val="18"/>
          <w:szCs w:val="18"/>
          <w:color w:val="auto"/>
        </w:rPr>
      </w:pPr>
    </w:p>
    <w:p>
      <w:pPr>
        <w:ind w:left="680" w:right="26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expected environmental, social and governance footprint</w:t>
      </w:r>
      <w:r>
        <w:rPr>
          <w:rFonts w:ascii="Times New Roman" w:cs="Times New Roman" w:eastAsia="Times New Roman" w:hAnsi="Times New Roman"/>
          <w:sz w:val="18"/>
          <w:szCs w:val="18"/>
          <w:color w:val="auto"/>
        </w:rPr>
        <w:t>: Based on several Lifecycle Assessments (“LCAs”)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we commissioned and certain of our executive officers co-authored, we expect a potential 70-99% reduction of most lifecycle environmental, social and governance (“ESG”) impacts as compared to metal production from conventional land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60"/>
        <w:spacing w:after="0" w:line="282" w:lineRule="auto"/>
        <w:rPr>
          <w:sz w:val="20"/>
          <w:szCs w:val="20"/>
          <w:color w:val="auto"/>
        </w:rPr>
      </w:pPr>
      <w:r>
        <w:rPr>
          <w:rFonts w:ascii="Times New Roman" w:cs="Times New Roman" w:eastAsia="Times New Roman" w:hAnsi="Times New Roman"/>
          <w:sz w:val="18"/>
          <w:szCs w:val="18"/>
          <w:color w:val="auto"/>
        </w:rPr>
        <w:t>sources by developing a new type of high-grade multi-metal source found on the abyssal plain - a low biomass, low carbon sequestration deep-sea environment removed from human settlement.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currently hold exclusive exploration rights through our subsidiaries in NORI and TOML and exclusive commercial rights through agreement with Marawa, to certain polymetallic nodule areas in the CCZ.</w:t>
      </w:r>
    </w:p>
    <w:p>
      <w:pPr>
        <w:spacing w:after="0" w:line="160"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of which this prospectus forms a part.</w:t>
      </w:r>
    </w:p>
    <w:p>
      <w:pPr>
        <w:spacing w:after="0" w:line="196"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of which this prospectus forms a part.</w:t>
      </w:r>
    </w:p>
    <w:p>
      <w:pPr>
        <w:spacing w:after="0" w:line="200"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exploration rights to an area covering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360045</wp:posOffset>
            </wp:positionV>
            <wp:extent cx="5332095" cy="3265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3209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Our contemplated business spans the entire lifecycle from the resource acquisition and definition stage through the collection and transportation phases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government of Nauru and Tonga, respectively. We intend to engage in processing operations in locations that are yet to be determined. We have chosen an asset-light approach to our operations and have focused on forming deep strategic partnerships with leading offshore and onshore companies in every aspect of our operations.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strategic alliances in 2021 included:</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Allseas. </w:t>
      </w:r>
      <w:r>
        <w:rPr>
          <w:rFonts w:ascii="Times New Roman" w:cs="Times New Roman" w:eastAsia="Times New Roman" w:hAnsi="Times New Roman"/>
          <w:sz w:val="18"/>
          <w:szCs w:val="18"/>
          <w:color w:val="auto"/>
        </w:rPr>
        <w:t>Allseas, a leading global offshore contractor, is developing the pilot collection system, which is expected to be modified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smaller scale commercial production system and serve as the basis for the design of a full-scale commercial production system.</w:t>
      </w:r>
    </w:p>
    <w:p>
      <w:pPr>
        <w:spacing w:after="0" w:line="15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Maersk. </w:t>
      </w:r>
      <w:r>
        <w:rPr>
          <w:rFonts w:ascii="Times New Roman" w:cs="Times New Roman" w:eastAsia="Times New Roman" w:hAnsi="Times New Roman"/>
          <w:sz w:val="18"/>
          <w:szCs w:val="18"/>
          <w:color w:val="auto"/>
        </w:rPr>
        <w:t>Maersk Supply Service NS (Maersk), a leading offshore marine services company, provided us with vessel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management services for resource definition and environmental offshore campaigns between 2018 and 2021. Our agreement with Maersk ended pursuant to its terms in January 2022 following the completion of all NORI Area D baseline campaigns. 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 discussed below. Our work with this third party is ongoing and we are in discussions with this party to finalize our agreement with them for their continued services to us.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Glencore: </w:t>
      </w:r>
      <w:r>
        <w:rPr>
          <w:rFonts w:ascii="Times New Roman" w:cs="Times New Roman" w:eastAsia="Times New Roman" w:hAnsi="Times New Roman"/>
          <w:sz w:val="18"/>
          <w:szCs w:val="18"/>
          <w:color w:val="auto"/>
        </w:rPr>
        <w:t>Glencore International AG (Glencore) holds offtake rights on 50% of the NORI nickel and copper production.</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worked with an engineering firm Hatch Ltd. (Hatch) and consultants Kingston Process Metallurgy Inc. (KPM) to develop a near-zero solid waste flowsheet. The pyromet stages of the flowsheet were tested as part of our pilot plant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program at FLSmidth &amp; Co. A/S’s and XPS Solutions’ (Glencore subsidiary) facilities and hydromerallurgical refining stages are being carried out at SGS SA. The near-zero solid waste flowsheet is the process design that is expected to serve as the basis for our onshore processing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Phased Project Development</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Currently, we are an exploration stage company with a completed initial assessment, working towards a pre-feasibility study. We expect to enter into the feasibility study phase in 2023 following completion of the pilot collection test with Allseas in the CCZ. Having significantly advanced resource definition and environmental baseline studies on NORI Area D, we intend to apply for an exploitation contract on that area first. If we obtain an exploitation contract, we then plan to start with a small-scale commercial production (“Project Zero”) in 2024 in which we expect to collect and process up to 1.3Mtpa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outlined in the NORI – D Technical Report Summary.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Work Program</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as defined below,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“Management’s Discussion and Analysis of Financial Condition and Results of Operations—Liquidity and Capital Resources”, we will need additional funding to reach our expected commercial production in 2024.</w:t>
      </w:r>
    </w:p>
    <w:p>
      <w:pPr>
        <w:spacing w:after="0" w:line="185" w:lineRule="exact"/>
        <w:rPr>
          <w:sz w:val="20"/>
          <w:szCs w:val="20"/>
          <w:color w:val="auto"/>
        </w:rPr>
      </w:pPr>
    </w:p>
    <w:p>
      <w:pPr>
        <w:ind w:left="34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Resource definition and project economics: </w:t>
      </w:r>
      <w:r>
        <w:rPr>
          <w:rFonts w:ascii="Times New Roman" w:cs="Times New Roman" w:eastAsia="Times New Roman" w:hAnsi="Times New Roman"/>
          <w:sz w:val="18"/>
          <w:szCs w:val="18"/>
          <w:color w:val="auto"/>
        </w:rPr>
        <w:t>Having completed a total of nine offshore resource definition campaigns,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samples and completed subsea surveys for resource evaluation, we have defined the size and quality of our resource in the NORI and TOML Areas, as described below, in our SEC Regulation S-K (subpart 1300) compliant </w:t>
      </w:r>
      <w:r>
        <w:rPr>
          <w:rFonts w:ascii="Times New Roman" w:cs="Times New Roman" w:eastAsia="Times New Roman" w:hAnsi="Times New Roman"/>
          <w:sz w:val="18"/>
          <w:szCs w:val="18"/>
          <w:i w:val="1"/>
          <w:iCs w:val="1"/>
          <w:color w:val="auto"/>
        </w:rPr>
        <w:t>Technical Report Summary -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of the NORI Property, Clarion-Clipperton Zone, Pacific Ocean </w:t>
      </w:r>
      <w:r>
        <w:rPr>
          <w:rFonts w:ascii="Times New Roman" w:cs="Times New Roman" w:eastAsia="Times New Roman" w:hAnsi="Times New Roman"/>
          <w:sz w:val="18"/>
          <w:szCs w:val="18"/>
          <w:color w:val="auto"/>
        </w:rPr>
        <w:t>dated March 17, 2021 (“NORI Initial Assessment”) and</w:t>
      </w:r>
      <w:r>
        <w:rPr>
          <w:rFonts w:ascii="Times New Roman" w:cs="Times New Roman" w:eastAsia="Times New Roman" w:hAnsi="Times New Roman"/>
          <w:sz w:val="18"/>
          <w:szCs w:val="18"/>
          <w:i w:val="1"/>
          <w:iCs w:val="1"/>
          <w:color w:val="auto"/>
        </w:rPr>
        <w:t xml:space="preserve"> Technical Report Summary - TOML Mineral Resource, Clarion-Clipperton Zone, Pacific Ocean </w:t>
      </w:r>
      <w:r>
        <w:rPr>
          <w:rFonts w:ascii="Times New Roman" w:cs="Times New Roman" w:eastAsia="Times New Roman" w:hAnsi="Times New Roman"/>
          <w:sz w:val="18"/>
          <w:szCs w:val="18"/>
          <w:color w:val="auto"/>
        </w:rPr>
        <w:t>dated March 26, 2021 (“TOML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Resource Statement”), respectively, prepared by AMC. From this work, both NORI and TOML have reported measured, indicated and inferred resources as tabulated below.</w:t>
      </w:r>
    </w:p>
    <w:p>
      <w:pPr>
        <w:spacing w:after="0" w:line="174" w:lineRule="exact"/>
        <w:rPr>
          <w:rFonts w:ascii="Times New Roman" w:cs="Times New Roman" w:eastAsia="Times New Roman" w:hAnsi="Times New Roman"/>
          <w:sz w:val="18"/>
          <w:szCs w:val="18"/>
          <w:color w:val="auto"/>
        </w:rPr>
      </w:pPr>
    </w:p>
    <w:p>
      <w:pPr>
        <w:ind w:left="340" w:right="14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NORI Area 2020 Mineral Resource Estimate, in situ, for the NORI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1911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164" w:lineRule="exact"/>
        <w:rPr>
          <w:sz w:val="20"/>
          <w:szCs w:val="20"/>
          <w:color w:val="auto"/>
        </w:rPr>
      </w:pPr>
    </w:p>
    <w:p>
      <w:pPr>
        <w:ind w:left="340" w:right="340"/>
        <w:spacing w:after="0" w:line="219" w:lineRule="auto"/>
        <w:rPr>
          <w:sz w:val="20"/>
          <w:szCs w:val="20"/>
          <w:color w:val="auto"/>
        </w:rPr>
      </w:pPr>
      <w:r>
        <w:rPr>
          <w:rFonts w:ascii="Times New Roman" w:cs="Times New Roman" w:eastAsia="Times New Roman" w:hAnsi="Times New Roman"/>
          <w:sz w:val="18"/>
          <w:szCs w:val="18"/>
          <w:b w:val="1"/>
          <w:bCs w:val="1"/>
          <w:color w:val="auto"/>
        </w:rPr>
        <w:t>TOML Area 2020 Mineral Resource Estimate, in situ, for the TOML Areas within the CCZ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28714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define our resource in the NORI and TOML areas and develop the project economics.</w:t>
      </w:r>
    </w:p>
    <w:p>
      <w:pPr>
        <w:spacing w:after="0" w:line="221" w:lineRule="exact"/>
        <w:rPr>
          <w:sz w:val="20"/>
          <w:szCs w:val="20"/>
          <w:color w:val="auto"/>
        </w:rPr>
      </w:pPr>
    </w:p>
    <w:p>
      <w:pPr>
        <w:ind w:left="340" w:hanging="332"/>
        <w:spacing w:after="0" w:line="25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Offshore nodule collection system development: </w:t>
      </w:r>
      <w:r>
        <w:rPr>
          <w:rFonts w:ascii="Times New Roman" w:cs="Times New Roman" w:eastAsia="Times New Roman" w:hAnsi="Times New Roman"/>
          <w:sz w:val="18"/>
          <w:szCs w:val="18"/>
          <w:color w:val="auto"/>
        </w:rPr>
        <w:t>We are working with our strategic partner and investor, Allseas, to develop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system to collect, lift and transport nodules from the seafloor to shore. The offshore collection system consists of collector robots on the seafloor, a riser and lift system, and a surface production support vessel. The nodules would be expected to be collected from the seafloor by self-propelled, tracked collector robots using seawater jets aimed at nodules in parallel with the seafloor. No rock cutting, digging, drill-and-blast or other breakage are expected to be required at the point of collection. The collectors would be remotely controlled and supplied with electric power via umbilical cables from the production support vessel. To test the system and assess its environmental impacts, we entered into a contract with Allseas to undertake a pilot trial of the collection system in the NORI Area D in the second half of 2022 (the Pilot Mining Test System or “PMTS”). The successful completion of the PMTS would support our application for an exploitation contract with the ISA. Until the successful completion of the PMTS, Allseas is contracted to cover the development cost associated with the PMTS. We have developed and submitted the Environmental Impact Statement (“EIS”) for this test to the ISA in July 2021 and submitted a revised EIS in February 2022 following public review. The surface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was acquired by Allseas in February 2020 and has strategic importance to us, since it will support the PMTS and is then expected to be upgraded to a small-scale, low-capital early production system. This vessel has undergone modifications in Rotterdam, Netherlands. The pilot collector robot has been assembled at a fabrication facility in Heijningen, Netherlands, has been integrated onto the vessel and is undergoing sea trials. Prior to the planned collector test in the CCZ in the second half of 2022,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will be used for component testing in the Dutch EEZ and in the Atlantic Ocean.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20" w:hanging="332"/>
        <w:spacing w:after="0" w:line="253"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and social impact assessment (“ESIA”) for offshore nodule collection</w:t>
      </w:r>
      <w:r>
        <w:rPr>
          <w:rFonts w:ascii="Times New Roman" w:cs="Times New Roman" w:eastAsia="Times New Roman" w:hAnsi="Times New Roman"/>
          <w:sz w:val="18"/>
          <w:szCs w:val="18"/>
          <w:color w:val="auto"/>
        </w:rPr>
        <w:t>: The ESIA is an integral part of preparing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application for the ISA exploitation contract on the NORI Area D. Our planned ESIA program consists of over 100 discrete studies and relies on the work of several independent deep-sea research institutions. In 2021, our partnership with Maersk enabled us to undertake complex multi-objective offshore campaigns, each with multiple teams of scientists using various types of equipment. The total of eight offshore environmental campaigns (approximately 250 days at sea) focusing on collecting environmental baseline data were expected to be completed by the end of 2021. NORI submitted the EIS for the collector test in July 2021 to the ISA and submitted a revised EIS in February 2022 following public review. The EIS received over 650 comments from a broad group of stakeholders. We submitted our responses to these comments as well as an updated EIS to the ISA on March 1, 2022. Provided that we receive a response from the ISA on the acceptability of the scope of our updated EIS no later than July 2022, we expect that our subsidiary, NORI, will be able to begin its pilot collection test in the second half of 2022. We are currently in the planning stage of the last component of the environmental program: testing the offshore pilot nodule collection system and monitoring its environmental impacts while it collects nodules in the NORI Area D expected to occur in the second half 2022.</w:t>
      </w:r>
    </w:p>
    <w:p>
      <w:pPr>
        <w:spacing w:after="0" w:line="189"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Onshore technology development: </w:t>
      </w:r>
      <w:r>
        <w:rPr>
          <w:rFonts w:ascii="Times New Roman" w:cs="Times New Roman" w:eastAsia="Times New Roman" w:hAnsi="Times New Roman"/>
          <w:sz w:val="18"/>
          <w:szCs w:val="18"/>
          <w:color w:val="auto"/>
        </w:rPr>
        <w:t>To process and refine collected nodules into critical metals, we have developed a flowsheet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 metallurgical process design firm, Hatch Ltd.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Nickel is expected to account for almost half of future production revenues. We have completed lab-scale test work and offshore campaigns to collect a bulk sample for pilot-scale metallurgical testing. We are now in the middle of the pilot plant program. In 2021, we successfully completed calcining and smelting of nodules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186" w:lineRule="exact"/>
        <w:rPr>
          <w:rFonts w:ascii="Times New Roman" w:cs="Times New Roman" w:eastAsia="Times New Roman" w:hAnsi="Times New Roman"/>
          <w:sz w:val="18"/>
          <w:szCs w:val="18"/>
          <w:color w:val="auto"/>
        </w:rPr>
      </w:pPr>
    </w:p>
    <w:p>
      <w:pPr>
        <w:ind w:left="3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are also engaged in several technical scoping studies for a potential first small-scale production plant in Asia. On March 16, 2022 we announced a business collaboration with Epsilon Carbon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potential plant in India powered by renewables and with the targeted processing capacity of 1.3 million tonnes per annum (Mtpa) of wet nodules and production start in time to receive nodules collected from NORI-D area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w:t>
      </w:r>
    </w:p>
    <w:p>
      <w:pPr>
        <w:spacing w:after="0" w:line="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Epsilon Carbon entering into binding Heads of Terms with respect to the Project Zero Plant or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Mineral Resources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table of estimated mineral resources in NORI and TOML contract areas as of December 31, 2021. The estimated mineral resources in these areas were determined in 2021 as of December 31, 2020, and also reflect the estimated mineral resources as of December 31, 2021, as none of the mineral resources in these areas were depleted by mining or any other activities. See “Properties” for additional information about our estimated mineral resources. Both of these contract areas are in the exploration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Summary Mineral Resources, In-Situ, at End of the Fiscal Year Ended December 31, 2021 at 4kg/m</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Measured + indicated</w:t>
            </w:r>
          </w:p>
        </w:tc>
        <w:tc>
          <w:tcPr>
            <w:tcW w:w="140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mineral 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Million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As reflected in the initial economic analysis of NORI Area D contained in the NORI Technical Report Summary, a discounted cash flow analysis considering the intended pre-development work in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NORI Technical Report Summary and TOML Technical Report Summary do not include the conversion of mineral resources to mineral reserves.</w:t>
      </w:r>
    </w:p>
    <w:p>
      <w:pPr>
        <w:spacing w:after="0" w:line="15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8"/>
          <w:szCs w:val="18"/>
          <w:color w:val="auto"/>
        </w:rPr>
        <w:t>Inferred mineral resources have a high degree of uncertainty as to their existence and to whether they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and Processing of Polymetallic Nodules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and Shipping</w:t>
      </w:r>
    </w:p>
    <w:p>
      <w:pPr>
        <w:spacing w:after="0" w:line="229"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We are planning a phased development for NORI Area D. Polymetallic nodules would be collected using offshore collection systems, comprising of collector robots on the seafloor, a riser and lifting system (RALS) in the water column, and a production support vessel on the surface. The nodules are expected to be transferred to transport vessels and shipped to onshore processing facilities.</w:t>
      </w:r>
    </w:p>
    <w:p>
      <w:pPr>
        <w:spacing w:after="0" w:line="1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Through our strategic partnership with Allseas, a former drillship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acquired by Allseas in February 2020 has been converted and modified to undertake a pre-production collector test in which a collector vehicle, RALS and other systems will be tested. If we obtain an exploitation contract, the first phase of Project Zero would then be expected to commence after the </w:t>
      </w:r>
      <w:r>
        <w:rPr>
          <w:rFonts w:ascii="Times New Roman" w:cs="Times New Roman" w:eastAsia="Times New Roman" w:hAnsi="Times New Roman"/>
          <w:sz w:val="18"/>
          <w:szCs w:val="18"/>
          <w:i w:val="1"/>
          <w:iCs w:val="1"/>
          <w:color w:val="auto"/>
        </w:rPr>
        <w:t>Hidden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Gem </w:t>
      </w:r>
      <w:r>
        <w:rPr>
          <w:rFonts w:ascii="Times New Roman" w:cs="Times New Roman" w:eastAsia="Times New Roman" w:hAnsi="Times New Roman"/>
          <w:sz w:val="18"/>
          <w:szCs w:val="18"/>
          <w:color w:val="auto"/>
        </w:rPr>
        <w:t>has been upgraded to become a production support vessel that can produce up to 1.3 Mtpa (wet) of nodules. The nodules collected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Project Zero are expected to be processed through either existing third-party facilities on a tolling basis or alternatively through partnerships to construct new Rotary Kiln-Electric arc Furnace (“RKEF”) facilities. In the Project One, as outlined in the NORI – D Initial Assessment Technical Report Summary, production is expected to be expanded with an additional converted drillship (</w:t>
      </w:r>
      <w:r>
        <w:rPr>
          <w:rFonts w:ascii="Times New Roman" w:cs="Times New Roman" w:eastAsia="Times New Roman" w:hAnsi="Times New Roman"/>
          <w:sz w:val="18"/>
          <w:szCs w:val="18"/>
          <w:i w:val="1"/>
          <w:iCs w:val="1"/>
          <w:color w:val="auto"/>
        </w:rPr>
        <w:t>Drill 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a subsequent upgrade to the</w:t>
      </w:r>
      <w:r>
        <w:rPr>
          <w:rFonts w:ascii="Times New Roman" w:cs="Times New Roman" w:eastAsia="Times New Roman" w:hAnsi="Times New Roman"/>
          <w:sz w:val="18"/>
          <w:szCs w:val="18"/>
          <w:i w:val="1"/>
          <w:iCs w:val="1"/>
          <w:color w:val="auto"/>
        </w:rPr>
        <w:t xml:space="preserve"> Hidden Gem</w:t>
      </w:r>
      <w:r>
        <w:rPr>
          <w:rFonts w:ascii="Times New Roman" w:cs="Times New Roman" w:eastAsia="Times New Roman" w:hAnsi="Times New Roman"/>
          <w:sz w:val="18"/>
          <w:szCs w:val="18"/>
          <w:color w:val="auto"/>
        </w:rPr>
        <w:t>, and the construction of a bespoke production support vessel (</w:t>
      </w:r>
      <w:r>
        <w:rPr>
          <w:rFonts w:ascii="Times New Roman" w:cs="Times New Roman" w:eastAsia="Times New Roman" w:hAnsi="Times New Roman"/>
          <w:sz w:val="18"/>
          <w:szCs w:val="18"/>
          <w:i w:val="1"/>
          <w:iCs w:val="1"/>
          <w:color w:val="auto"/>
        </w:rPr>
        <w:t>Collector Ship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360045</wp:posOffset>
            </wp:positionV>
            <wp:extent cx="2760345" cy="27514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034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intended seafloor production system operated at 4km depth (picture not to scale)</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order to test the collection system, we entered into a contract with Allseas to undertake a pre-production collector test. If such test is successful, we expect that commercial production would then commence after the upgrading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into a production vessel. If we obtain an exploitation contract, we expect to collect 1.3 Mtpa (wet) of polymetallic nodules for use in Project Zero. For Project One, we believe that a fleet of three production vessels, each with multiple dedicated seafloor collectors, would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131445</wp:posOffset>
            </wp:positionV>
            <wp:extent cx="5434965" cy="2905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3496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also believe that this approach will de-risk the project for a relatively low initial capital investment. Additionally, this phased development will allow for an adaptive approach to environmental management providing learning at small-scale which would be applied as production increases in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Refining and Metallurgical Testing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Pyrometallurgical processing of polymetallic nodules has been extensively studied since the early 1970s.</w:t>
      </w:r>
    </w:p>
    <w:p>
      <w:pPr>
        <w:spacing w:after="0" w:line="22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To this end, we have been working with a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Solutions’ (Glencore subsidiary)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nickel pig iron and could potentially be converted to smelt polymetallic nodules. While we have not completed the negotiations of any definitive agreements with RKEF plants, we believe that we may be able to do so in the future on commercially reasonable terms. In parallel, we are actively exploring two additional scenarios of either co-locating new RKEF capacity with a potential future offtake of our manganese silicate product or building a new RKEF plant with a converter isle with a partner willing to finance, build and operate such a facility.</w:t>
      </w:r>
    </w:p>
    <w:p>
      <w:pPr>
        <w:spacing w:after="0" w:line="18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the future, based on the work performed by Hatch and subject to available capital, we are contemplating the construction of a processing plant(s), which may include pyrometallurgical and hydrometallurgical circuits. Nodule processing would be increased in phases by treatment in this new plant or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Key 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July 8, 2019, we and Allseas entered into the Pilot Mining Test Agreement (the “PMTA”), which governed the terms, design specifications, procedures, and timetable under which Allseas agreed to complete the PMTS, to be used by NORI. The PMTA was subsequently amended on September 1, 2019, February 20, 2020, and March 4, 2021. The Strategic Alliance Agreement was also amended on March 4, 2021 (collectively with the PMTA amendment of the same date, the “Amendment”), which Amendment became effective upon the Closing. Pursuant to the Amendment, the cash fee payable pursuant to the PMTA was amended such that we would pay to Allseas (i) $10,000,000 on June 30, 2021 (which we subsequently amended with Allseas to change to within 10 business days of the Closing in a further amendment; this amount was paid on October 5, 2021), (ii) $10,000,000 on the later of January 1, 2022 and such time that confirmation is received with respect to the successful completion of the North Sea drive test, and (iii) $10,000,000 upon successful completion of the pilot trials in the CCZ using the PMTS. Pursuant to the Amendment, except as provided therein, Allseas may not, without our prior written consent, terminate the Strategic Alliance Agreement or the PMTA before NORI receives an ISA exploitation contract.</w:t>
      </w:r>
    </w:p>
    <w:p>
      <w:pPr>
        <w:spacing w:after="0" w:line="19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Also on March 4, 2021, we issued the Allseas Warrant to Allseas, which shall vest upon successful completion of CCZ trial using the PMTS. A maximum of 11.6 million warrants to purchase common shares will vest if the CCZ trials using the PMTS are completed by September 30, 2023, gradually decreasing to 5.8 million warrants to purchase common shares if the CCZ trials using the PMTS are completed after September 30, 2025. The Allseas Warrant was issued to Allseas in lieu of any future obligation to issue the Success Fee Shares. The Allseas Warrant shall vest only upon (and not before) the successful completion of the CCZ trials using the PMTS and will expire on September 30, 2026.</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With respect to Allseas, if the CCZ trials using the PMTS is successfully completed, the PMTA will terminate by its terms, whereas the overarching Strategic Alliance Agreement will remain in place.</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(“Project Zero System”).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Non-Binding Memorandum of Understanding with Epsilon Carbon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March 16, 2022, we announced a business collaboration with Epsilon Carbon through the signing of a non-binding memorandum of understanding under which Epsilon Carbon intends to complete a pre-feasibility study for a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intends to deliver a pre-feasibility report (“PFR”) for a plant in India powered by renewables and with the targeted processing capacity of 1.3 million tonnes per annum (Mtpa) of wet nodules and production start in time to receive nodules collected from NORI Area D starting around the fourth quarter of 2024, subject to TMC’s subsidiary NORI securing an exploitation contract from the ISA. It is anticipated that TMC and Epsilon Carbon will enter binding Heads of Terms for construction and operations of Project Zero Plant by September 30, 2022. TMC and Epsilon Carbon have both agreed not to enter into any binding agreements with any other third party for the construction and operation of a processing plant for polymetallic nodules through the earlier of TMC and Epsilon Carbon entering into binding Heads of Terms with respect to the Project Zero Plant or March 31, 2023. There can be no assurance that we will enter into such Heads of Terms or subsequent definitive agreement(s) in a particular time period, or at all, or on terms similar to those set forth in the memorandum of understanding, or that if such Heads of Terms or definitive agreement(s) are entered into by us that the proposed plant will be financed, engineered, permitted, constructed, operated or supplied in a particular time period, or at all, or successfully.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We may be unable to compete successfully with these and other competitors, including other land-based mining operations. In addition to three contracts held by TMC’s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Nations Convention on the Law of the Sea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policy documents governing the Area, including the CCZ, include:</w:t>
      </w:r>
    </w:p>
    <w:p>
      <w:pPr>
        <w:spacing w:after="0" w:line="225" w:lineRule="exact"/>
        <w:rPr>
          <w:sz w:val="20"/>
          <w:szCs w:val="20"/>
          <w:color w:val="auto"/>
        </w:rPr>
      </w:pPr>
    </w:p>
    <w:p>
      <w:pPr>
        <w:ind w:left="740" w:hanging="40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UNCLOS, of 10 December 1982; and</w:t>
      </w:r>
    </w:p>
    <w:p>
      <w:pPr>
        <w:spacing w:after="0" w:line="225"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1994 Implementation Agreement.</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360045</wp:posOffset>
            </wp:positionV>
            <wp:extent cx="5263515" cy="27514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6351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August 20, 2020, UNCLOS had been signed by 167 States (countries) and the European Union.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Seabed Authority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The ISA is comprised of UNCLOS signatories, 167 Member States, and the European Union. All parties to UNCLOS are members of the ISA. The ISA is mandated as the organization through which parties to UNCLOS shall organize and control all mineral-related activities in the Area. Two principal entities establish the policies and govern the work of the ISA: the Assembly, where all 167 members are represented (the “Assembly”), and a 37-member council elected by the Assembly (the “Council”). The Council has two advisory bodies: the Legal Technical Commission (LTC) (30 members), which advises the Council on all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9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8"/>
          <w:szCs w:val="18"/>
          <w:i w:val="1"/>
          <w:iCs w:val="1"/>
          <w:color w:val="auto"/>
        </w:rPr>
        <w:t>https://www.isa.org.jm/mining-code/Regulations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80" w:right="20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Nodules in the CCZ (adopted July 13, 2000, as amended in 2013; the Regulations).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Sulphides (adopted May 7, 2010).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Cobalt-Rich Ferromanganese Crusts in the CCZ (July 2012).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No commercial polymetallic nodule collection operations have started anywhere in the world. Currently, exploration activities undertaken are aimed at gathering the necessary information on the location and quality of the minerals of the seabed as well as collecting all the necessary environmental information. To date, the ISA has approved 17 contracts in the CCZ for exploration of nodules, one in the Indian Ocean and one in the Western Pacific Ocean covering more than 1.35 million square kilometers of the seabed. This represents only 0.3 percent of the world’s oceans.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9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76"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intending to have these regulations finalized by July 2020, but the COVID-19 pandemic disrupted ISA meetings and discussions.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154305</wp:posOffset>
            </wp:positionV>
            <wp:extent cx="5777865" cy="2202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7786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an EIS for the proposed commercial operations, the end-product of a comprehensive ESIA program. In addition, we have also not yet obtained the applicable environmental permits and other permits required to build and operate commercial scale polymetallic nodule processing and refining plants on land.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However, 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by July 9, 2023, the adoption of regulations necessary to facilitate the approval of plans of work for the commercial exploitation of polymetallic nodules. In June 2022, another member state submitted a position paper to the ISA urging that the deadline to adopt the regulations be extended for a period of 15 years. Although we believe that the notice submitted by Nauru to the ISA has increased the likelihood that regulations will be adopted that will govern and enable commercial scale polymetallic nodule collection by mid-2023, there can be no assurances that the adoption of these regulations will not be delayed or halted as a result of the actions of other member states in the ISA.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2021, the ISA held face to face meetings in Kingston Jamaica and established an ambitious work plan and road map to finalize regulations by July 2023 for the commercial exploitation of seabed minerals, including those necessary for the collection of polymetallic nodules. The road map includes two, two-week sessions of Council and one week of Assembly meetings that will be focused primarily on the finalization of the regulations in 2022. The road map also provides for a third two-week Council session in the fourth quarter of 2022, if required and subject to resources. Once adopted, these regulations will create the legal and technical framework for exploitation of the polymetallic nodules in the NORI, TOML and Marawa Contract Areas.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While, the ISA has developed a work plan and road map to complete the Final Regulations by July 2023,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Exploration Contract</w:t>
      </w:r>
    </w:p>
    <w:p>
      <w:pPr>
        <w:spacing w:after="0" w:line="229" w:lineRule="exact"/>
        <w:rPr>
          <w:sz w:val="20"/>
          <w:szCs w:val="20"/>
          <w:color w:val="auto"/>
        </w:rPr>
      </w:pPr>
    </w:p>
    <w:p>
      <w:pPr>
        <w:ind w:right="160" w:firstLine="324"/>
        <w:spacing w:after="0" w:line="230" w:lineRule="auto"/>
        <w:rPr>
          <w:sz w:val="20"/>
          <w:szCs w:val="20"/>
          <w:color w:val="auto"/>
        </w:rPr>
      </w:pPr>
      <w:r>
        <w:rPr>
          <w:rFonts w:ascii="Times New Roman" w:cs="Times New Roman" w:eastAsia="Times New Roman" w:hAnsi="Times New Roman"/>
          <w:sz w:val="18"/>
          <w:szCs w:val="18"/>
          <w:color w:val="auto"/>
        </w:rPr>
        <w:t>In July 2011, our wholly-owned subsidiary, NORI, was granted a polymetallic nodule exploration contract by the ISA, providing it exclusive rights to explore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98"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NORI Exploration Contract, which was granted pursuant to the ISA’s Regulations on Prospecting and Exploration for Polymetallic Nodules in the CCZ (the “Regulations”), formalized a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9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March 2016, NORI submitted to the ISA its proposed activities for the second five-year period of its exploration contract. NORI indicated that work during such period would focus on:</w:t>
      </w:r>
    </w:p>
    <w:p>
      <w:pPr>
        <w:spacing w:after="0" w:line="162"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project uncertainties and technical risks;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onshore processing and offshore production systems (including increasing performance and reliability);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project economics, including decreasing estimated capital and operating expenditures as well as increasing projected revenues.</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NORI proposed various activities under that submission, which have been undertaken and are continuing to be undertaken. Such work has included improving metal recovery from the hydrometallurgical process then being developed, including studies to improve efficiencies, reduce costs, and increase revenue streams. During the course of this second five-year period, the metallurgical process flow sheet was revised to result in perceived lower-risk and no solid waste, and a pyrometallurgical/hydrometallurgical flowsheet was developed. Studies have also been carried out to identify potential sites for processing plants. A program of offshore campaigns has been and is in the process of being implemented, resulting in a comprehensive environmental baseline study program involving in excess of 100 separate studies from world leading researchers and institutions. This program is intended to inform NORI’s ESIA and EMMP submissions to the ISA and assist in its design and plans to manage and mitigate potential environmental impacts from operations.</w:t>
      </w:r>
    </w:p>
    <w:p>
      <w:pPr>
        <w:spacing w:after="0" w:line="19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NORI commenced a pre-feasibility study to analyze technical and economic viability of the collection system and metallurgical process, and revised capital and operating costs.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NORI also proposed and has implemented or will implement a range of activities pertaining to the collector test: (i) identification and ground truthing of areas potentially suitable for the collector test; (ii) confirmation of a collector test site; (iii) commencement of the environmental baseline studies pertaining to the collector EIA program; and (iv) commencing geotechnical studies pertaining to the collector test program. On July 29, 2021, NORI submitted its EIS on the NORI Collector Test for consideration by the ISA.</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2021, NORI submitted a review of the implementation of the plan of work for the period from 2017to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The ISA requested clarification on a few matters and noted that the periodic review would be concluded if the clarifications were received within 30 days. On February 28, 2022, NORI provided the clarification in response to the request by the ISA.</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Council may suspend or terminate the NORI Exploration Contract, without prejudice to any other rights that the ISA may have, if any of the following events should occur:</w:t>
      </w:r>
    </w:p>
    <w:p>
      <w:pPr>
        <w:spacing w:after="0" w:line="162" w:lineRule="exact"/>
        <w:rPr>
          <w:sz w:val="20"/>
          <w:szCs w:val="20"/>
          <w:color w:val="auto"/>
        </w:rPr>
      </w:pPr>
    </w:p>
    <w:p>
      <w:pPr>
        <w:ind w:left="680" w:right="6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ind w:left="680" w:right="120" w:hanging="321"/>
        <w:spacing w:after="0" w:line="258"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Sponsorship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76"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5, 2017, Nauru, the Nauru Seabed Minerals Authority and NORI entered into a sponsorship agreement (the “NORI Sponsorship Agreement”) formalizing certain obligations of the parties in relation to NORI’s exploration and potential collection of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exploration, NORI is required to, among other things:</w:t>
      </w:r>
    </w:p>
    <w:p>
      <w:pPr>
        <w:spacing w:after="0" w:line="225"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annual report to the ISA;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performance and expenditure commitments;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 annual overhead charge to cover the costs incurred by the ISA in administering and supervising the contract;</w:t>
      </w:r>
    </w:p>
    <w:p>
      <w:pPr>
        <w:spacing w:after="0" w:line="225"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training programs for personnel of the ISA and developing countries in accordance with a training program proposed by NORI in its license application;</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to prevent, reduce, and control pollution and other hazards to the marine environment arising from its activities in the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appropriate insurance policies;</w:t>
      </w:r>
    </w:p>
    <w:p>
      <w:pPr>
        <w:spacing w:after="0" w:line="225" w:lineRule="exact"/>
        <w:rPr>
          <w:rFonts w:ascii="Times New Roman" w:cs="Times New Roman" w:eastAsia="Times New Roman" w:hAnsi="Times New Roman"/>
          <w:sz w:val="18"/>
          <w:szCs w:val="18"/>
          <w:color w:val="auto"/>
        </w:rPr>
      </w:pPr>
    </w:p>
    <w:p>
      <w:pPr>
        <w:ind w:left="680" w:right="8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environmental baselines against which to assess the likely effects of its program of activities on the marine environment;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implement a program to monitor and report on such effects.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Exploration Contract</w:t>
      </w:r>
    </w:p>
    <w:p>
      <w:pPr>
        <w:spacing w:after="0" w:line="229" w:lineRule="exact"/>
        <w:rPr>
          <w:sz w:val="20"/>
          <w:szCs w:val="20"/>
          <w:color w:val="auto"/>
        </w:rPr>
      </w:pPr>
    </w:p>
    <w:p>
      <w:pPr>
        <w:ind w:right="100" w:firstLine="324"/>
        <w:spacing w:after="0" w:line="224" w:lineRule="auto"/>
        <w:rPr>
          <w:sz w:val="20"/>
          <w:szCs w:val="20"/>
          <w:color w:val="auto"/>
        </w:rPr>
      </w:pPr>
      <w:r>
        <w:rPr>
          <w:rFonts w:ascii="Times New Roman" w:cs="Times New Roman" w:eastAsia="Times New Roman" w:hAnsi="Times New Roman"/>
          <w:sz w:val="18"/>
          <w:szCs w:val="18"/>
          <w:color w:val="auto"/>
        </w:rPr>
        <w:t>In March 2020, we acquired TOML from Deep Sea Mining Finance Limited, providing us with exclusive rights to explore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area of the CCZ seabed. TOML holds an exploration contract granted by the ISA and sponsored by Tonga pursuant to the TOML Exploration Contract (“TOML Exploration Contract”). The plan of work was approved by the Council, acting on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recommendation of the LTC, on July 19, 2011. The TOML Exploration Contract was then signed on January 11, 2012 between TOML and the ISA and terminates on January 11, 2027, subject to a potential extension under the terms of the agreement.</w:t>
      </w:r>
    </w:p>
    <w:p>
      <w:pPr>
        <w:spacing w:after="0" w:line="162"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The TOML Exploration Contract was granted pursuant to the ISA’s Regulations, as well as Article 153 of UNCLOS, and formalized a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2016 TOML submitted to the ISA its proposed activities for the second five-year period of its exploration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TOML indicated that work would focus on:</w:t>
      </w:r>
    </w:p>
    <w:p>
      <w:pPr>
        <w:spacing w:after="0" w:line="207"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and collection of environmental baseline data;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pilot testing;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geotechnical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feasibility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drafting of the first EIS/EMMP;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training.</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Based on an expectation that the forthcoming environmental regulations pertaining to obtaining an ISA Exploitation Contract were to be completed, TOML submitted a plan that included a substantive program of environmental baseline survey and pilot collection monitoring. It also included fabrication and trials of pilot scale collection equipment, metallurgical test work, and other engineering and marketing studies as well as report drafting for environmental permitting and feasibility study purposes. The designing of TOML’s collection system called the Decoupled Underwater Collection Concept (“DUCC”) did progress to prefeasibility study state. TOML continued to advance its project design by conducting land-based tests and closing technology gaps in areas not previously piloted. A preliminary collection plan and collection equipment/schedule was completed for the TOML preliminary collection areas, but such plans are now subject to change by TOML.</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2021, TOML submitted a review of the implementation of the plan of work for the period from 2017 to 2021 to the ISA. The review included a proposed plan of work for the next five-year period from2022 to 2026. The ISA is currently reviewing TOML’s review and proposed plan of work and is expected to provide a response in 2022.</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Council may suspend or terminate the TOML Exploration Contract, without prejudice to any other rights that the ISA may have, if any of the following events should occur:</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TOML has conducted its activities in such a way as to result in serious persistent and willful violations of the fundamental terms of this contract, Part XI of UNCLOS, the 1994 Agreement and the rules, regulations and procedures of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has failed to comply with a final binding decision of the dispute settlement body applicable to it;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becomes insolvent or commits an act of bankruptcy or enters into any agreement for composition with its creditors or goes into liquidation or receivership, whether compulsory or voluntary,</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Sponsorship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Tonga updated the sponsorship agreement with TOML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Under ISA requirements contractors are required to submit five-year work programs. The first TOML five-year work program was completed in 2016 and reviewed and accepted by the ISA in late 2016.</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second five-year period ending in 2021, TOML proposed the following program: (i) continue environmental baseline work; (ii) complete pilot testing; (iii) complete geotechnical studies; (iv) complete feasibility studies; (v) first draft EIS/EMMP; and</w:t>
      </w:r>
    </w:p>
    <w:p>
      <w:pPr>
        <w:ind w:firstLine="8"/>
        <w:spacing w:after="0" w:line="255" w:lineRule="auto"/>
        <w:tabs>
          <w:tab w:leader="none" w:pos="3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w:t>
      </w:r>
    </w:p>
    <w:p>
      <w:pPr>
        <w:spacing w:after="0" w:line="18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financial state of the previous owner of TOML, TOML did not progress at the rate intended until we purchased TOML in March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 plans to collaborate closely with NORI on the development of offshore technology and nodule processing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July 26, 2012, the Council approved a plan of work for exploration submitted by Marawa covering the Marawa Contract Area. Marawa is in the process of preparing to submit its 5-year periodic review report to the ISA.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October 1, 2013, DGE entered into an agreement (the “Services Agreement”) with Kiribati and Marawa granting DGE the exclusive right for 40 years to carry out exploration and collection in the Marawa Contract Area as well as purchase polymetallic nodules collected from the Marawa Contract Area. The Marawa Exploration Contract was signed on January 19, 2015. Mineral resource definition work began in 2020 for the Marawa Contract Area and we expect to continue undertaking such work in the near future.</w:t>
      </w:r>
    </w:p>
    <w:p>
      <w:pPr>
        <w:spacing w:after="0" w:line="180"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 ad hoc ISA working group has met several times including most recently in February 2020 to discuss a number of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contained in the NORI Technical Report Summary.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 The road map agreed to in December 2021, has allocated two days of discussion of the development and negotiation of the financial terms during the March 2022 Council session.</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of production) on a compounding basis based on the official inflation rate in the United States. In addition, NORI and TOML will pay an administration fee each year to Nauru and Tonga for such administration and sponsorship, which is subject to review and increase in the event that NORI or TOML are granted an ISA Exploitation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76"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Between 1998 and 2019, the ISA held workshops and developed a number of documents to provide guidance to contractors with respect to its expectations for responsible environmental management during the exploration and collection phases of mineral development. Regulations for exploration have been established, and environmental standards and guidelines (together with environmental provisions in the Draft Regulations for Exploitation) to apply to operations are currently under development. The ISA held a workshop “towards an ISA environmental management strategy for the Area” in March 2017 in Berlin, Germany. The results of the workshop were published as ISA technical Study 17 (ISA 2017).</w:t>
      </w:r>
    </w:p>
    <w:p>
      <w:pPr>
        <w:spacing w:after="0" w:line="187"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The ISA has issued Regulations on Prospecting and Exploration for Polymetallic Nodules (adopted on July 13, 2000, updated on July 25, 2013). The regulations are complemented by the LTC’s recommendations for the guidance of contractors on assessing the</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environmental impacts of exploration. The exploitation regulations on deep-seabed collection will be complemented by various standards and guidelines. The ISA is currently developing these Standards and Guidelines which are expected to be finalized by the LTC and adopted by the Council. The ISA has divided the required standards and guidelines in three phases.</w:t>
      </w:r>
    </w:p>
    <w:p>
      <w:pPr>
        <w:spacing w:after="0" w:line="176" w:lineRule="exact"/>
        <w:rPr>
          <w:sz w:val="20"/>
          <w:szCs w:val="20"/>
          <w:color w:val="auto"/>
        </w:rPr>
      </w:pPr>
    </w:p>
    <w:p>
      <w:pPr>
        <w:ind w:left="680" w:right="80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Standards and guidelines deemed necessary to be in place by the time of adoption of the draft regulations on exploitation.</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Standards and guidelines deemed necessary to be in place prior to the receipt of an application of a plan of work for exploitation.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Phase 3: Standards </w:t>
      </w:r>
      <w:r>
        <w:rPr>
          <w:rFonts w:ascii="Times New Roman" w:cs="Times New Roman" w:eastAsia="Times New Roman" w:hAnsi="Times New Roman"/>
          <w:sz w:val="18"/>
          <w:szCs w:val="18"/>
          <w:color w:val="333333"/>
        </w:rPr>
        <w:t>and guidelines deemed necessary to be in place before commercial mining activities commence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154305</wp:posOffset>
            </wp:positionV>
            <wp:extent cx="5314950" cy="15347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495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Ten standards and guidelines have been prepared in Phase 1, provided to stakeholders for comment, reviewed and amended by the LTC and provided to Council for consideration and approval. Approximately, 20 additional standards and guidelines will be drafted as part of the development of Phase 2 in 2022 for stakeholder comment and review. Once the LTC has finalized the standards and guidelines, they will be provided to the Council for review and adoption.</w:t>
      </w:r>
    </w:p>
    <w:p>
      <w:pPr>
        <w:spacing w:after="0" w:line="180"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that the ISA requires the completion of baseline studies and EIA, culminating in an EIS for proposed commercial operations, prior to collection. Guidance for contractors in terms of what will be expected in the EIS has been provided in ISA Technical Study No. 10 (ISA 2012a). The EIS, along with an EMMP, will be required as part of the application for an ISA Exploitation Contract for operations in the CCZ.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full column physical and chemical oceanographic data and environmental baseline studies. All offshore campaigns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environmental baseline data collection have been completed. A collector test involving trialing of collector vehicle and riser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is planned for 2022. A key objective of this test is to monitor the environmental impact of the collection system and use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to forecast the impacts for a full-scale commercial operation. NORI intends to manage the project under the governance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management system (“EMS”), which is to be developed in accordance with the international EMS standard, ISO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14001:2004. The EMS will provide the overall framework for the environmental management and monitoring plans that will be required.</w:t>
      </w:r>
    </w:p>
    <w:p>
      <w:pPr>
        <w:spacing w:after="0" w:line="20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Through a consultation process initiated by the ISA in 2013 and the feedback that was obtained from multiple stakeholder groups, the environmental permitting process is expected to involve a series of checks and balances with reviews being conducted by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LTC. The recommendations of the LTC will go before the Council, which will then review and, if it deems appropriate, approve the exploitation application.</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acts as a second layer of legislation with which NORI is required to comply.</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To date, NORI’s assessment is that it is in compliance with existing exploration permits and contracts. NORI estimates that it is in the middle stages of the exploitation permitting process. In addition to working on key engineering aspects of the project such as designing the nodule collector and the dewatering facility, NORI is also continuing the following tasks:</w:t>
      </w:r>
    </w:p>
    <w:p>
      <w:pPr>
        <w:spacing w:after="0" w:line="176"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delineating nodule mineralization;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the seabed, water column and biology;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environmental baseline studies and impact assessments;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any materials returned to the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oceanographic and physical information to inform models (e.g., sediment plume models);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other plans, including the EMMP and the various subordinate plans.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potential future onshore environmental impacts have not yet been assessed because the processing plant that we expect to create or use through a tolling or other arrangement has not been determined or otherwise has not been designed in sufficient detail, and the location and host country (and hence regulatory regime) has not been confirmed. The planned metallurgical process is expected to generate near-zero solid waste products, and the deleterious elements (for example, cadmium and arsenic) content of the nodules is understood to be very low, indicating that with careful management, the environmental impacts of the processing operation is expected to be 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on the risks associated with our intellectual property strategy and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Offshore, in 2021, we have safely and successfully completed five complex campaigns in our NORI Area D in the CCZ involving crew and scientists departing from and returning to San Diego from around the world. In close coordination with our partner, Maersk,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June 29, 2022, we employed thirty-six (36) employees and contractors. None of our staff are covered by collective bargaining agreements.</w:t>
      </w:r>
    </w:p>
    <w:p>
      <w:pPr>
        <w:spacing w:after="0" w:line="16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Diversity and Inclusion</w:t>
      </w:r>
      <w:r>
        <w:rPr>
          <w:rFonts w:ascii="Times New Roman" w:cs="Times New Roman" w:eastAsia="Times New Roman" w:hAnsi="Times New Roman"/>
          <w:sz w:val="18"/>
          <w:szCs w:val="18"/>
          <w:color w:val="auto"/>
        </w:rPr>
        <w:t>. We are committed to attracting, developing and retaining diverse talent that is inclusive of every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gender, gender identity, race, sexual orientation, physical capability, neurological difference, ethnicity, belief and perspective. Our goal is to develop cultural competency by seeking knowledge, increasing awareness, modeling respect and promoting inclusion. Geographically our staff are located in Tonga, Nauru, United States, Canada, Australia, United Kingdom and United Arab Emirates. Our team is comprised of highly skilled individuals with 61% of our staff holding post-graduate degrees, including 19% who hold a Ph.D. degree. Moreover, 32% of our staff are women and 29% of our staff are racially diverse.</w:t>
      </w:r>
    </w:p>
    <w:p>
      <w:pPr>
        <w:spacing w:after="0" w:line="18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People Engagement</w:t>
      </w:r>
      <w:r>
        <w:rPr>
          <w:rFonts w:ascii="Times New Roman" w:cs="Times New Roman" w:eastAsia="Times New Roman" w:hAnsi="Times New Roman"/>
          <w:sz w:val="18"/>
          <w:szCs w:val="18"/>
          <w:color w:val="auto"/>
        </w:rPr>
        <w:t>. As a company working to pioneer a new industry and new ways of doing things, our success depends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attracting and retaining strong, independent, entrepreneurial, and multi-talented team members capable of dealing with high levels of uncertainty and adversity. Our team is distributed across several continents and several time zones, with remote working being the norm for most of our staff.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8"/>
          <w:szCs w:val="18"/>
          <w:i w:val="1"/>
          <w:iCs w:val="1"/>
          <w:color w:val="auto"/>
        </w:rPr>
        <w:t xml:space="preserve">ad hoc </w:t>
      </w:r>
      <w:r>
        <w:rPr>
          <w:rFonts w:ascii="Times New Roman" w:cs="Times New Roman" w:eastAsia="Times New Roman" w:hAnsi="Times New Roman"/>
          <w:sz w:val="18"/>
          <w:szCs w:val="18"/>
          <w:color w:val="auto"/>
        </w:rPr>
        <w:t>video communication and creating opportunities for in-person gatherings. We offer our team members flexible work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autonomy in managing their time while encouraging them to set boundaries between work on our shared mission and their home lives.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compensate our staff competitively, striving to be in the 50th-60th percentile of our peers for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 Health &amp; Safety (EHS). </w:t>
      </w:r>
      <w:r>
        <w:rPr>
          <w:rFonts w:ascii="Times New Roman" w:cs="Times New Roman" w:eastAsia="Times New Roman" w:hAnsi="Times New Roman"/>
          <w:sz w:val="18"/>
          <w:szCs w:val="18"/>
          <w:color w:val="auto"/>
        </w:rPr>
        <w:t>Our EHS vision is to fully integrate environmental, health and safety into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create a workplace free of incidents. In 2021, we have relied on the EHS programs of our partners Allseas and until December 2021, Maersk. These all involve EHS systems incorporating thorough planning, risk assessment and disciplined implementation of controls as well as culturally-based safety observations systems like safe act observations and obligation of “stop work if it is unsafe to proceed”. In 2021, the five offshore exploration campaigns have been completed without any health and safety incident and no COVID-19 outbreaks. Since 2011, fifteen NORI campaigns have been completed without any lost-time injury. In addition, construction of the collector test system has involved 416,000 person-hours, without any lost-time injury.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TMC is a corporation existing under the laws of British Columbia, Canada. TMC’s registered office is currently located at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 and its telephone number is: (604) 631-3115.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September 20, 2021, we commenced litigation in the New York Superior Court, New York County against two investors who failed to fund their commitments pursuant to subscription agreements entered into in connection with the expected private placement in connection with the closing of the Business Combination. These actions are captioned </w:t>
      </w:r>
      <w:r>
        <w:rPr>
          <w:rFonts w:ascii="Times New Roman" w:cs="Times New Roman" w:eastAsia="Times New Roman" w:hAnsi="Times New Roman"/>
          <w:sz w:val="18"/>
          <w:szCs w:val="18"/>
          <w:i w:val="1"/>
          <w:iCs w:val="1"/>
          <w:color w:val="auto"/>
        </w:rPr>
        <w:t>Sustainable Opportunities Acquisition Corp. n/k/a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TMC the metals company Inc. v. Ethos Fund I, LP, Ethos GP, LLC, Ethos DeepGreen PIPE, LLC, and Ethos Manager, LLC, </w:t>
      </w:r>
      <w:r>
        <w:rPr>
          <w:rFonts w:ascii="Times New Roman" w:cs="Times New Roman" w:eastAsia="Times New Roman" w:hAnsi="Times New Roman"/>
          <w:sz w:val="18"/>
          <w:szCs w:val="18"/>
          <w:color w:val="auto"/>
        </w:rPr>
        <w:t>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655527/2021 (N.Y. Sup. Ct.) and </w:t>
      </w:r>
      <w:r>
        <w:rPr>
          <w:rFonts w:ascii="Times New Roman" w:cs="Times New Roman" w:eastAsia="Times New Roman" w:hAnsi="Times New Roman"/>
          <w:sz w:val="18"/>
          <w:szCs w:val="18"/>
          <w:i w:val="1"/>
          <w:iCs w:val="1"/>
          <w:color w:val="auto"/>
        </w:rPr>
        <w:t>Sustainable Opportunities Acquisition Corp. n/k/a TMC the metals company Inc. v. Ramas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LLC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Ramas Energy Opportunities I, LP, Ramas Energy Opportunities I GP, LLC, and Ganesh Betanabhatla</w:t>
      </w:r>
      <w:r>
        <w:rPr>
          <w:rFonts w:ascii="Times New Roman" w:cs="Times New Roman" w:eastAsia="Times New Roman" w:hAnsi="Times New Roman"/>
          <w:sz w:val="18"/>
          <w:szCs w:val="18"/>
          <w:color w:val="auto"/>
        </w:rPr>
        <w:t>, 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us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 Corp.,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Gerard Barron and Scott Leonard</w:t>
      </w:r>
      <w:r>
        <w:rPr>
          <w:rFonts w:ascii="Times New Roman" w:cs="Times New Roman" w:eastAsia="Times New Roman" w:hAnsi="Times New Roman"/>
          <w:sz w:val="18"/>
          <w:szCs w:val="18"/>
          <w:color w:val="auto"/>
        </w:rPr>
        <w:t>. The complaint alleges that all defendants violated Section 10(b) of the Exchange Act, and Rule 10b-5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Metals Company, Inc</w:t>
      </w:r>
      <w:r>
        <w:rPr>
          <w:rFonts w:ascii="Times New Roman" w:cs="Times New Roman" w:eastAsia="Times New Roman" w:hAnsi="Times New Roman"/>
          <w:sz w:val="18"/>
          <w:szCs w:val="18"/>
          <w:color w:val="auto"/>
        </w:rPr>
        <w:t>. These cases have been consolidated. An amended complaint was filed on May 12, 2022, reflecting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allegations. We deny any allegations of wrongdoing and we filed a motion to dismiss and intend to defend against this lawsuit. There is no assurance, however, that we or the other defendants will be successful in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either cannot be reliably estimated. A resolution of this lawsuit adverse to us or the other defendants, however, could have a material effect on our financial position and results of operations in the period in which the lawsuit is resolved.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NORI Contract Area</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the registration statement of which this prospectus forms a part.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NORI Area and access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56515</wp:posOffset>
            </wp:positionV>
            <wp:extent cx="4920615" cy="38061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2061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777"/>
        </w:trPr>
        <w:tc>
          <w:tcPr>
            <w:tcW w:w="420" w:type="dxa"/>
            <w:vAlign w:val="bottom"/>
          </w:tcPr>
          <w:p>
            <w:pPr>
              <w:spacing w:after="0"/>
              <w:rPr>
                <w:sz w:val="24"/>
                <w:szCs w:val="24"/>
                <w:color w:val="auto"/>
              </w:rPr>
            </w:pPr>
          </w:p>
        </w:tc>
        <w:tc>
          <w:tcPr>
            <w:tcW w:w="29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NORI Contract Area extents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3"/>
        </w:trPr>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Minimum  Maximum   Minimum   Maximum   Minimum   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UTM</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Zone</w:t>
            </w: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(134.5830)</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545,220.4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627,276.0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1,271,339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1,437,255</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13.5801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(134.0000)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607,995.7</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694,759.8</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1,501,590</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1,548,425</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(123.0000)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(120.5000)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769,458.3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1,326,941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1,652,649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9.8950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11.0833</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(117.8167)</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(116.0667)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410,465.2</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602,326.1</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1,093,913</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1,225,353</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1568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NORI Technical Report Summary for further specific information of the location of the NORI Contract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and Business of TMC-Government Regulations- International Seabed Authority above for information related to tenements and permits in the NORI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obligations and sponsorship</w:t>
      </w:r>
    </w:p>
    <w:p>
      <w:pPr>
        <w:spacing w:after="0" w:line="229"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NORI Exploration Contract, Business of TMC-Government Regulations-The NORI Sponsorship Agreement above for information related to this agreement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NORI Contract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8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Using a different system to OMI, Ocean Mining Associates recovered approximately 500 tonnes of nodules during its trial collection in the 1970s.</w:t>
      </w:r>
    </w:p>
    <w:p>
      <w:pPr>
        <w:sectPr>
          <w:pgSz w:w="11900" w:h="16838" w:orient="portrait"/>
          <w:cols w:equalWidth="0" w:num="1">
            <w:col w:w="9920"/>
          </w:cols>
          <w:pgMar w:left="980" w:top="500"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NORI Technical Report Summary for further specific information of the history of previous exploration of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high Ni and Cu grade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CCZ seafloor forms part of the Abyssal Plains, which are the largest physiographic province on Earth.</w:t>
      </w:r>
    </w:p>
    <w:p>
      <w:pPr>
        <w:spacing w:after="0" w:line="20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Nodules are abundant in abyssal areas with oxygenated bottom waters and low sedimentation rates (less than 10 cm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years). Nodules generally range from about 1 to 12 cm in their longest dimension. Nodules of 1 to 5 cm are typically the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in NORI Area D, where they have been classified as Type 1 nodules.</w:t>
      </w:r>
    </w:p>
    <w:p>
      <w:pPr>
        <w:spacing w:after="0" w:line="20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NORI completed offshore exploration campaigns in 2012, 2013, 2018, 2019 and 2020. During these campaigns a variety of data was collected including:</w:t>
      </w:r>
    </w:p>
    <w:p>
      <w:pPr>
        <w:spacing w:after="0" w:line="162" w:lineRule="exact"/>
        <w:rPr>
          <w:sz w:val="20"/>
          <w:szCs w:val="20"/>
          <w:color w:val="auto"/>
        </w:rPr>
      </w:pPr>
    </w:p>
    <w:p>
      <w:pPr>
        <w:ind w:left="680" w:right="1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seafloor survey work with an autonomous underwater vehicle (AUV), utilizing an MBES, Side Scan Sonar (SSS), Sub-Bottom Profiler (SBP), and camera payload; and</w:t>
      </w:r>
    </w:p>
    <w:p>
      <w:pPr>
        <w:spacing w:after="0" w:line="153" w:lineRule="exact"/>
        <w:rPr>
          <w:rFonts w:ascii="Times New Roman" w:cs="Times New Roman" w:eastAsia="Times New Roman" w:hAnsi="Times New Roman"/>
          <w:sz w:val="18"/>
          <w:szCs w:val="18"/>
          <w:color w:val="auto"/>
        </w:rPr>
      </w:pPr>
    </w:p>
    <w:p>
      <w:pPr>
        <w:ind w:left="680" w:right="340" w:hanging="321"/>
        <w:spacing w:after="0" w:line="217"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252 box core samples collected using a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box corer, mainly on a 10 km by 10 km square grid were used for resource evaluation.</w:t>
      </w:r>
    </w:p>
    <w:p>
      <w:pPr>
        <w:spacing w:after="0" w:line="19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NORI exploration campaigns in 2012, 2013, 2018, 2019 and 2020, see Section 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4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68" w:lineRule="exact"/>
        <w:rPr>
          <w:sz w:val="20"/>
          <w:szCs w:val="20"/>
          <w:color w:val="auto"/>
        </w:rPr>
      </w:pPr>
    </w:p>
    <w:p>
      <w:pPr>
        <w:ind w:right="40" w:firstLine="324"/>
        <w:spacing w:after="0" w:line="232" w:lineRule="auto"/>
        <w:rPr>
          <w:sz w:val="20"/>
          <w:szCs w:val="20"/>
          <w:color w:val="auto"/>
        </w:rPr>
      </w:pPr>
      <w:r>
        <w:rPr>
          <w:rFonts w:ascii="Times New Roman" w:cs="Times New Roman" w:eastAsia="Times New Roman" w:hAnsi="Times New Roman"/>
          <w:sz w:val="18"/>
          <w:szCs w:val="18"/>
          <w:color w:val="auto"/>
        </w:rPr>
        <w:t>The mineral resource estimate for NORI Area 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This cut-off is derived from the estimates of costs and revenues presented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20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58" w:lineRule="exact"/>
        <w:rPr>
          <w:sz w:val="20"/>
          <w:szCs w:val="20"/>
          <w:color w:val="auto"/>
        </w:rPr>
      </w:pPr>
    </w:p>
    <w:p>
      <w:pPr>
        <w:ind w:left="340" w:right="1380"/>
        <w:spacing w:after="0" w:line="288" w:lineRule="auto"/>
        <w:rPr>
          <w:sz w:val="20"/>
          <w:szCs w:val="20"/>
          <w:color w:val="auto"/>
        </w:rPr>
      </w:pPr>
      <w:r>
        <w:rPr>
          <w:rFonts w:ascii="Times New Roman" w:cs="Times New Roman" w:eastAsia="Times New Roman" w:hAnsi="Times New Roman"/>
          <w:sz w:val="18"/>
          <w:szCs w:val="18"/>
          <w:b w:val="1"/>
          <w:bCs w:val="1"/>
          <w:color w:val="auto"/>
        </w:rPr>
        <w:t>NORI December 31, 2021 and December 31, 2020 In-Situ Mineral Resource estimate for NORI Area D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54"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Tonnes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Abundance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Nickel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Copper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Cobalt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Manganese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Silicon</w:t>
            </w:r>
          </w:p>
        </w:tc>
      </w:tr>
      <w:tr>
        <w:trPr>
          <w:trHeight w:val="24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1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198"/>
        </w:trPr>
        <w:tc>
          <w:tcPr>
            <w:tcW w:w="10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8"/>
              </w:rPr>
              <w:t>Measured</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Indicated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r>
    </w:tbl>
    <w:p>
      <w:pPr>
        <w:spacing w:after="0" w:line="170"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w:t>
      </w:r>
    </w:p>
    <w:p>
      <w:pPr>
        <w:spacing w:after="0" w:line="204" w:lineRule="auto"/>
        <w:rPr>
          <w:sz w:val="20"/>
          <w:szCs w:val="20"/>
          <w:color w:val="auto"/>
        </w:rPr>
      </w:pPr>
      <w:r>
        <w:rPr>
          <w:rFonts w:ascii="Times New Roman" w:cs="Times New Roman" w:eastAsia="Times New Roman" w:hAnsi="Times New Roman"/>
          <w:sz w:val="17"/>
          <w:szCs w:val="17"/>
          <w:color w:val="auto"/>
        </w:rPr>
        <w:t>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NORI Contract Area,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estimates of costs and revenues presented in the initial assessment contained in the NORI Technical Report Summary.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prices assumed in the calculation of the cut-off were: nickel metal $16,472/t; nickel in nickel sulfate $18,807/t Ni; copper metal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$6,872/t; cobalt metal $46,333/t; cobalt in cobalt sulfate $56,920/t Co; manganese in manganese silicate $4.50/dmtu. The price estimates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long term (2034 – 2046) forecasts provided in a report by CRU International Limited (CRU, October 23, 2020). The Qualified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that this timeframe is reasonable in view of the likely time required to bring the majority of the NORI mineral resources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Sampling of NORI Area D at a spacing of 10 km by 10 km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87" w:lineRule="exact"/>
        <w:rPr>
          <w:sz w:val="20"/>
          <w:szCs w:val="20"/>
          <w:color w:val="auto"/>
        </w:rPr>
      </w:pPr>
    </w:p>
    <w:p>
      <w:pPr>
        <w:ind w:right="60" w:firstLine="324"/>
        <w:spacing w:after="0" w:line="230" w:lineRule="auto"/>
        <w:rPr>
          <w:sz w:val="20"/>
          <w:szCs w:val="20"/>
          <w:color w:val="auto"/>
        </w:rPr>
      </w:pPr>
      <w:r>
        <w:rPr>
          <w:rFonts w:ascii="Times New Roman" w:cs="Times New Roman" w:eastAsia="Times New Roman" w:hAnsi="Times New Roman"/>
          <w:sz w:val="18"/>
          <w:szCs w:val="18"/>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than extending the area sampled) are exceptionally high compared to the typical outcomes from infill sampling of terrestrial mineral deposits.</w:t>
      </w:r>
    </w:p>
    <w:p>
      <w:pPr>
        <w:spacing w:after="0" w:line="162"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150" w:lineRule="exact"/>
        <w:rPr>
          <w:sz w:val="20"/>
          <w:szCs w:val="20"/>
          <w:color w:val="auto"/>
        </w:rPr>
      </w:pPr>
    </w:p>
    <w:p>
      <w:pPr>
        <w:ind w:left="340" w:right="20"/>
        <w:spacing w:after="0" w:line="219" w:lineRule="auto"/>
        <w:rPr>
          <w:sz w:val="20"/>
          <w:szCs w:val="20"/>
          <w:color w:val="auto"/>
        </w:rPr>
      </w:pPr>
      <w:r>
        <w:rPr>
          <w:rFonts w:ascii="Times New Roman" w:cs="Times New Roman" w:eastAsia="Times New Roman" w:hAnsi="Times New Roman"/>
          <w:sz w:val="18"/>
          <w:szCs w:val="18"/>
          <w:b w:val="1"/>
          <w:bCs w:val="1"/>
          <w:color w:val="auto"/>
        </w:rPr>
        <w:t>NORI Area A, B and C December 31, 2021 and December 31, 2020 In-Situ Mineral Resource estimate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Nodule tonnage</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Ni</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4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NORI Area</w:t>
            </w:r>
          </w:p>
        </w:tc>
        <w:tc>
          <w:tcPr>
            <w:tcW w:w="9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0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(Mt (wet))</w:t>
            </w:r>
          </w:p>
        </w:tc>
        <w:tc>
          <w:tcPr>
            <w:tcW w:w="1300" w:type="dxa"/>
            <w:vAlign w:val="bottom"/>
            <w:gridSpan w:val="3"/>
          </w:tcPr>
          <w:p>
            <w:pPr>
              <w:ind w:left="200"/>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Inferred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bl>
    <w:p>
      <w:pPr>
        <w:spacing w:after="0" w:line="202"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NORI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8"/>
          <w:szCs w:val="18"/>
          <w:b w:val="1"/>
          <w:bCs w:val="1"/>
          <w:color w:val="auto"/>
        </w:rPr>
        <w:t>Therefore, you are cautioned not to assume that all or any part of an inferred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proposed seafloor development phases are as follows:</w:t>
      </w:r>
    </w:p>
    <w:p>
      <w:pPr>
        <w:spacing w:after="0" w:line="225" w:lineRule="exact"/>
        <w:rPr>
          <w:sz w:val="20"/>
          <w:szCs w:val="20"/>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Collector Test is designed to perform proof of concept for the methods of collecting and lifting the nodules while acquiring sufficient data to design a commercial system. The Collector Test would use a converted sixth generation drillship,</w:t>
      </w:r>
    </w:p>
    <w:p>
      <w:pPr>
        <w:sectPr>
          <w:pgSz w:w="11900" w:h="16838" w:orient="portrait"/>
          <w:cols w:equalWidth="0" w:num="1">
            <w:col w:w="9880"/>
          </w:cols>
          <w:pgMar w:left="980" w:top="513"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right="28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Nodules collected during the test would be stored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brought to shore for use in large scale process pilot testing. The test would not demonstrate the transshipment of nodules to a shore-based facility.</w:t>
      </w:r>
    </w:p>
    <w:p>
      <w:pPr>
        <w:spacing w:after="0" w:line="158" w:lineRule="exact"/>
        <w:rPr>
          <w:sz w:val="20"/>
          <w:szCs w:val="20"/>
          <w:color w:val="auto"/>
        </w:rPr>
      </w:pPr>
    </w:p>
    <w:p>
      <w:pPr>
        <w:ind w:left="680" w:right="60" w:hanging="321"/>
        <w:spacing w:after="0" w:line="25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Zero would be an extension of the Collector Test using an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produce a sufficient and continuous quantity of nodules to support a relatively small commercial operation of about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8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One would increase production in a further three steps: 1) introduction of a second converted drillship (Drill Ship 2) with a capacity of up to 3.6 Mtpa (wet), 2) a further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up to 3.6 Mtpa (wet) and 3) construction of a new purpose-built production support vessel (Collector Ship 1) with capacity of up to 8.2 Mtpa (wet). Project One would benefit from lessons learned on the Collector Test and Project Zero.</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of the polymetallic nodules would also be ramped up in phases:</w:t>
      </w:r>
    </w:p>
    <w:p>
      <w:pPr>
        <w:spacing w:after="0" w:line="225"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Zero, NORI proposes to toll-treat polymetallic nodules at existing RKEF smelters, utilizing excess industry capacity. NORI advises there is significant interest from many parties in China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183"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One, a purpose-built process plant would be constructed, including pyrometallurgical and hydrometallurgical circuits. Nodule production would be increased in phases by treatment in this new plant.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Drill Ship 2; and Collector Ship 1. Collector Ship 1 is intended to be supported by a collector support vessel.</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80"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w:t>
      </w:r>
    </w:p>
    <w:p>
      <w:pPr>
        <w:sectPr>
          <w:pgSz w:w="11900" w:h="16838" w:orient="portrait"/>
          <w:cols w:equalWidth="0" w:num="1">
            <w:col w:w="9900"/>
          </w:cols>
          <w:pgMar w:left="980" w:top="513"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size to an Aframax or New 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176"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Expected Mineral Resource modifying factors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Modifying factors</w:t>
            </w: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4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8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Resource area efficiency</w:t>
            </w:r>
          </w:p>
        </w:tc>
        <w:tc>
          <w:tcPr>
            <w:tcW w:w="2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92%</w:t>
            </w:r>
          </w:p>
        </w:tc>
        <w:tc>
          <w:tcPr>
            <w:tcW w:w="200" w:type="dxa"/>
            <w:vAlign w:val="bottom"/>
            <w:tcBorders>
              <w:top w:val="single" w:sz="8" w:color="CCEEFF"/>
            </w:tcBorders>
            <w:shd w:val="clear" w:color="auto" w:fill="CCEEFF"/>
          </w:tcPr>
          <w:p>
            <w:pPr>
              <w:spacing w:after="0"/>
              <w:rPr>
                <w:sz w:val="16"/>
                <w:szCs w:val="16"/>
                <w:color w:val="auto"/>
              </w:rPr>
            </w:pPr>
          </w:p>
        </w:tc>
        <w:tc>
          <w:tcPr>
            <w:tcW w:w="54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resource area efficiency factor is defined as the width of the collector</w:t>
            </w:r>
          </w:p>
        </w:tc>
      </w:tr>
      <w:tr>
        <w:trPr>
          <w:trHeight w:val="216"/>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divided by the width of the collector path. A 0.5 m undisturbed strip is to</w:t>
            </w:r>
          </w:p>
        </w:tc>
      </w:tr>
      <w:tr>
        <w:trPr>
          <w:trHeight w:val="216"/>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 left either side of the collector. For a 12 m wide collector, the resource</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area efficiency is calculated as 12/13.</w:t>
            </w: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Collector pick-up efficiency</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90%</w:t>
            </w:r>
          </w:p>
        </w:tc>
        <w:tc>
          <w:tcPr>
            <w:tcW w:w="200" w:type="dxa"/>
            <w:vAlign w:val="bottom"/>
          </w:tcPr>
          <w:p>
            <w:pPr>
              <w:spacing w:after="0"/>
              <w:rPr>
                <w:sz w:val="17"/>
                <w:szCs w:val="17"/>
                <w:color w:val="auto"/>
              </w:rPr>
            </w:pPr>
          </w:p>
        </w:tc>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picked-up by the collector head.</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Collector underflow efficiency</w:t>
            </w:r>
          </w:p>
        </w:tc>
        <w:tc>
          <w:tcPr>
            <w:tcW w:w="12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95%</w:t>
            </w:r>
          </w:p>
        </w:tc>
        <w:tc>
          <w:tcPr>
            <w:tcW w:w="20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that is picked-up that is passed to the</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collector underflow.</w:t>
            </w: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Nodule attrition</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17"/>
                <w:szCs w:val="17"/>
                <w:color w:val="auto"/>
              </w:rPr>
            </w:pPr>
          </w:p>
        </w:tc>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mass of nodule lost through attrition from the</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seafloor to trans-shipment. It is included in the trans-shipment efficiency.</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Trans-shipment efficiency</w:t>
            </w:r>
          </w:p>
        </w:tc>
        <w:tc>
          <w:tcPr>
            <w:tcW w:w="12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93%</w:t>
            </w:r>
          </w:p>
        </w:tc>
        <w:tc>
          <w:tcPr>
            <w:tcW w:w="20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transferred from the production</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to trans-shipment.</w:t>
            </w: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Overall collector efficiency</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80%</w:t>
            </w:r>
          </w:p>
        </w:tc>
        <w:tc>
          <w:tcPr>
            <w:tcW w:w="200" w:type="dxa"/>
            <w:vAlign w:val="bottom"/>
          </w:tcPr>
          <w:p>
            <w:pPr>
              <w:spacing w:after="0"/>
              <w:rPr>
                <w:sz w:val="17"/>
                <w:szCs w:val="17"/>
                <w:color w:val="auto"/>
              </w:rPr>
            </w:pPr>
          </w:p>
        </w:tc>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w:t>
            </w:r>
          </w:p>
        </w:tc>
      </w:tr>
      <w:tr>
        <w:trPr>
          <w:trHeight w:val="216"/>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w w:val="99"/>
              </w:rPr>
              <w:t>delivered to the transport vessel. It includes losses in the pick-up, overflow,</w:t>
            </w:r>
          </w:p>
        </w:tc>
      </w:tr>
      <w:tr>
        <w:trPr>
          <w:trHeight w:val="234"/>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attrition and trans-shipment (90%*95%*100%*93%).</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Overall resource recovery factor</w:t>
            </w:r>
          </w:p>
        </w:tc>
        <w:tc>
          <w:tcPr>
            <w:tcW w:w="12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73%</w:t>
            </w:r>
          </w:p>
        </w:tc>
        <w:tc>
          <w:tcPr>
            <w:tcW w:w="20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 the product of the resource area efficiency * collector pick-up efficiency</w:t>
            </w:r>
          </w:p>
        </w:tc>
      </w:tr>
      <w:tr>
        <w:trPr>
          <w:trHeight w:val="216"/>
        </w:trPr>
        <w:tc>
          <w:tcPr>
            <w:tcW w:w="2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collector under flow efficiency * (1 — nodule attrition (%)), * trans-</w:t>
            </w:r>
          </w:p>
        </w:tc>
      </w:tr>
      <w:tr>
        <w:trPr>
          <w:trHeight w:val="234"/>
        </w:trPr>
        <w:tc>
          <w:tcPr>
            <w:tcW w:w="2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shipment efficiency (92%*90%*95%*100%*93%).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polymetallic nodule collection methods, see Section 13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80"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RKEF lines and two hydrometallurgical refineries are expected to be required to meet our expected production demand.</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180"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8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targeted processing rate for the new processing plant at full capacity is expected to be 6.4 Mtpa of nodules (dry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and host country of the processing operation has not yet been determined. Engineering design has not yet been undertaken.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metallurgical recoveries are summarized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Nickel</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Cobalt</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Copper</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Recovery</w:t>
            </w: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Recovery</w:t>
            </w:r>
          </w:p>
        </w:tc>
      </w:t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Process Step</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96.2 %</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86.5 %</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Overall recovery</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86.2 %</w:t>
            </w:r>
          </w:p>
        </w:tc>
      </w:tr>
    </w:tbl>
    <w:p>
      <w:pPr>
        <w:spacing w:after="0" w:line="17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14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76"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analysis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88" w:lineRule="exact"/>
        <w:rPr>
          <w:sz w:val="20"/>
          <w:szCs w:val="20"/>
          <w:color w:val="auto"/>
        </w:rPr>
      </w:pPr>
    </w:p>
    <w:p>
      <w:pPr>
        <w:ind w:right="120" w:firstLine="324"/>
        <w:spacing w:after="0" w:line="230" w:lineRule="auto"/>
        <w:rPr>
          <w:sz w:val="20"/>
          <w:szCs w:val="20"/>
          <w:color w:val="auto"/>
        </w:rPr>
      </w:pPr>
      <w:r>
        <w:rPr>
          <w:rFonts w:ascii="Times New Roman" w:cs="Times New Roman" w:eastAsia="Times New Roman" w:hAnsi="Times New Roman"/>
          <w:sz w:val="18"/>
          <w:szCs w:val="18"/>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The proposed project schedule is shown in the Gantt chart in Figure 19.1 of the NORI Technical Report Summary.</w:t>
      </w:r>
    </w:p>
    <w:p>
      <w:pPr>
        <w:spacing w:after="0" w:line="19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Based on preliminary discussions with potential buyers, NORI believes that there is sufficient demand for the alloy and matte over the life of the project.</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analysis was performed on a 100% ownership basis and excludes consideration of financing costs and forward metal sales. The analysis assumes the economic parameters listed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Assumed Economic Inputs</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7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Parameters</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Values</w:t>
            </w: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Ni recovery</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Hydrometallurgical plant Cu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plant Co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Ni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Pyrometallurgical plant Cu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Pyrometallurgical plant Co recovery</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 silicate grade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 cathode grade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Payability of Cu content in cathode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Nodule moisture content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Onshore tax rate</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offshore tax (to ISA)</w:t>
            </w:r>
          </w:p>
        </w:tc>
        <w:tc>
          <w:tcPr>
            <w:tcW w:w="17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 of taxable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Project revenues will come from the following sources:</w:t>
      </w:r>
    </w:p>
    <w:p>
      <w:pPr>
        <w:spacing w:after="0" w:line="225"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copper cathode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cobalt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manganese silicate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ammonium sulfate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nickel alloy product containing copper and cobalt; and</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 product from the NORI pyrometallurgical plants containing nickel, copper and cobalt, which would be sold to the matte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NORI has used the following payable percentages for the alloy:</w:t>
      </w:r>
    </w:p>
    <w:p>
      <w:pPr>
        <w:spacing w:after="0" w:line="225"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Nickel: 80% of in-situ value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40% of in-situ value in the alloy;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Cobalt: 80% of in-situ value in the alloy.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estimates for treatment charges and refining charges for the alloy product were used in the NORI financial model:</w:t>
      </w:r>
    </w:p>
    <w:p>
      <w:pPr>
        <w:spacing w:after="0" w:line="225"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$1,697/tonne of contained nickel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$800/tonne of contained nickel in the alloy;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refining charge of $6,700/tonne of contained nickel in the alloy;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treatment charge $300/tonne of alloy.</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76"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2032</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2033</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2034 – 2046</w:t>
            </w:r>
          </w:p>
        </w:tc>
      </w:tr>
      <w:tr>
        <w:trPr>
          <w:trHeight w:val="238"/>
        </w:trPr>
        <w:tc>
          <w:tcPr>
            <w:tcW w:w="1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78"/>
        </w:trPr>
        <w:tc>
          <w:tcPr>
            <w:tcW w:w="1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Ni metal,</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LME cash</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SiMn,</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import,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 Mn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(/dmtu)</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 Grade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cathode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LME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 EU Co</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99.8%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(EXW)</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49,062</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w:t>
            </w:r>
          </w:p>
        </w:tc>
      </w:tr>
      <w:tr>
        <w:trPr>
          <w:trHeight w:val="198"/>
        </w:trPr>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 Sulfate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 Co</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(ex-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55,450</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schedule</w:t>
      </w:r>
    </w:p>
    <w:p>
      <w:pPr>
        <w:spacing w:after="0" w:line="227"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The production schedule on which the economic analysis is based was developed on an annual basis. The Qualified Person cautioned that a prefeasibility study has not been undertaken and that the seafloor production schedule is preliminary in nature and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174"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production schedule assumes staged operation initially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then Drill Ship 2 and finally Collector Vessel 1, as outlined in Section 16.1 of the NORI Technical Report Summary.</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5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Comparison of IA mine plan to Mineral Resource for NORI Area 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0"/>
        </w:trPr>
        <w:tc>
          <w:tcPr>
            <w:tcW w:w="2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Mineral</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Resource in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Seafloor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NORI Area 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production</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Difference</w:t>
            </w:r>
          </w:p>
        </w:tc>
      </w:tr>
      <w:tr>
        <w:trPr>
          <w:trHeight w:val="238"/>
        </w:trPr>
        <w:tc>
          <w:tcPr>
            <w:tcW w:w="2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categories)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09"/>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Tonnage (Mt wet)</w:t>
            </w:r>
          </w:p>
        </w:tc>
        <w:tc>
          <w:tcPr>
            <w:tcW w:w="4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Nodule abundance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Mn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 grade (%)</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 grade (%)</w:t>
            </w: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production ramp-up discussed in Section 17 of the NORI Technical Report Summary was adopted for the production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Qualified Person considered the assumptions underpinning the initial assessment and economic analysis to be reasonable.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operating costs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Cost estimate</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4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million)</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 Zero</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project costs</w:t>
            </w: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 One</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project costs</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Sustaining capital costs (onshore and offshore)</w:t>
            </w:r>
          </w:p>
        </w:tc>
        <w:tc>
          <w:tcPr>
            <w:tcW w:w="5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Closure costs</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46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Average operating cost estimates during steady state operation (from 2030 onwards)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Operating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 Unit</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Unit</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over Life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 (/t – wet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 (/t – dry</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Mine</w:t>
            </w:r>
          </w:p>
        </w:tc>
        <w:tc>
          <w:tcPr>
            <w:tcW w:w="2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tonne nodules</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tonne</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million pa)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recovered)</w:t>
            </w: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processed)</w:t>
            </w: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Onshore</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capital and operating costs, see Section 18 of the NORI Technical Report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analysis</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economic analysis set forth in Section 19 of the NORI Technical Report Summary presents a post-tax, real (uninflated) cash flows analysis. The valuation date is January 1, 2021 and we do not believe there have been any material changes to the assumptions used in this valuation through the end of December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77"/>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total cash flows are summarized below:</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1280" w:type="dxa"/>
            <w:vAlign w:val="bottom"/>
            <w:tcBorders>
              <w:bottom w:val="single" w:sz="8" w:color="CCEEFF"/>
            </w:tcBorders>
          </w:tcPr>
          <w:p>
            <w:pPr>
              <w:spacing w:after="0"/>
              <w:rPr>
                <w:sz w:val="20"/>
                <w:szCs w:val="20"/>
                <w:color w:val="auto"/>
              </w:rPr>
            </w:pPr>
          </w:p>
        </w:tc>
        <w:tc>
          <w:tcPr>
            <w:tcW w:w="72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million)</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item</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Mn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26,785</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r>
      <w:tr>
        <w:trPr>
          <w:trHeight w:val="216"/>
        </w:trPr>
        <w:tc>
          <w:tcPr>
            <w:tcW w:w="8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Ammonium sulfate revenue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95,090</w:t>
            </w:r>
          </w:p>
        </w:tc>
      </w:tr>
      <w:tr>
        <w:trPr>
          <w:trHeight w:val="21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Pre-project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construction</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construction</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sustaining capital</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Onshore sustaining capital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capital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10,607</w:t>
            </w:r>
          </w:p>
        </w:tc>
      </w:tr>
      <w:tr>
        <w:trPr>
          <w:trHeight w:val="209"/>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Shipping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operating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r>
      <w:tr>
        <w:trPr>
          <w:trHeight w:val="216"/>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37,524</w:t>
            </w:r>
          </w:p>
        </w:tc>
      </w:tr>
      <w:tr>
        <w:trPr>
          <w:trHeight w:val="210"/>
        </w:trPr>
        <w:tc>
          <w:tcPr>
            <w:tcW w:w="8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16"/>
        </w:trPr>
        <w:tc>
          <w:tcPr>
            <w:tcW w:w="8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Onshore tax</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10"/>
        </w:trPr>
        <w:tc>
          <w:tcPr>
            <w:tcW w:w="8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Taxes and royalties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16,318</w:t>
            </w:r>
          </w:p>
        </w:tc>
      </w:tr>
      <w:tr>
        <w:trPr>
          <w:trHeight w:val="210"/>
        </w:trPr>
        <w:tc>
          <w:tcPr>
            <w:tcW w:w="8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undiscounted cash flow</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30,641</w:t>
            </w:r>
          </w:p>
        </w:tc>
      </w:tr>
      <w:tr>
        <w:trPr>
          <w:trHeight w:val="20"/>
        </w:trPr>
        <w:tc>
          <w:tcPr>
            <w:tcW w:w="12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154305</wp:posOffset>
            </wp:positionV>
            <wp:extent cx="5280660" cy="2314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806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date of the investment decision is expected to be on or around June 30, 2023. The analysis assumes NORI spending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 million on pre-project activities between 2021 (which were progressed in 2021) and 2024. The future value of the project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(after the pre-project expenditure is sunk and time has elapsed) is expected to be $8.6 billion and the initial rate of return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that point is expected to be 29%.</w:t>
      </w:r>
    </w:p>
    <w:p>
      <w:pPr>
        <w:spacing w:after="0" w:line="2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125730</wp:posOffset>
            </wp:positionV>
            <wp:extent cx="4972050" cy="2888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7205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Tornado diagram of NPV sensitivity to variables</w:t>
      </w:r>
    </w:p>
    <w:p>
      <w:pPr>
        <w:spacing w:after="0" w:line="22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TOML Contract Area</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the registration statement of which this prospectus forms a part.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TOML Contract Area and access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TOML Area is located within the CCZ of the northeast Pacific Ocean. The CCZ is located in international waters between Hawaii and Mexico. The western-end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360045</wp:posOffset>
            </wp:positionV>
            <wp:extent cx="4954905" cy="383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TOML Contract Area extents</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23"/>
        </w:trPr>
        <w:tc>
          <w:tcPr>
            <w:tcW w:w="1220" w:type="dxa"/>
            <w:vAlign w:val="bottom"/>
          </w:tcPr>
          <w:p>
            <w:pPr>
              <w:spacing w:after="0"/>
              <w:rPr>
                <w:sz w:val="24"/>
                <w:szCs w:val="2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Latitude</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Longitude</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Longitude</w:t>
            </w:r>
          </w:p>
        </w:tc>
        <w:tc>
          <w:tcPr>
            <w:tcW w:w="2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UTM X</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UTM Y</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UTM 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UTM</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Area</w:t>
            </w:r>
          </w:p>
        </w:tc>
        <w:tc>
          <w:tcPr>
            <w:tcW w:w="180" w:type="dxa"/>
            <w:vAlign w:val="bottom"/>
          </w:tcPr>
          <w:p>
            <w:pPr>
              <w:spacing w:after="0"/>
              <w:rPr>
                <w:sz w:val="20"/>
                <w:szCs w:val="20"/>
                <w:color w:val="auto"/>
              </w:rPr>
            </w:pPr>
          </w:p>
        </w:tc>
        <w:tc>
          <w:tcPr>
            <w:tcW w:w="5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2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Zone</w:t>
            </w: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151.667 W</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152.510 W</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553,972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647,187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902,968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05N</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132.000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133.200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694,518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1,502,009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1,623,605</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128.583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131.000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1,658,371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1,747,847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09P</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247,293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437,022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1,451,031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1,557,860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123.583 W</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125.333 W</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1,409,563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10P</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117.817 W</w:t>
            </w: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118.917 W</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410,804</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1,093,917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1,225,828</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11P</w:t>
            </w:r>
          </w:p>
        </w:tc>
      </w:tr>
      <w:tr>
        <w:trPr>
          <w:trHeight w:val="90"/>
        </w:trPr>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DD — Decimal degrees, UTM — Universal Transverse Mercator map projection</w:t>
      </w:r>
    </w:p>
    <w:p>
      <w:pPr>
        <w:spacing w:after="0" w:line="23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TOML Technical Report Summary for further specific information of the location of the TOML Contract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and Business of TMC-Government Regulations- International Seabed Authority above for information related to tenements and permits in the TOML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obligations and sponsorship</w:t>
      </w:r>
    </w:p>
    <w:p>
      <w:pPr>
        <w:spacing w:after="0" w:line="229"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Regulations-The TOML Exploration Contract, Business of TMC-Government Regulations-The TOML Sponsorship Agreement above for information related to this agreement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See Business of TMC-Government Regulations-Royalties and taxes above for information with respect to our obligations for royalties and taxes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TOML Area</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8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TOML Technical Report Summary for further specific information of the history of previous exploration of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8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5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89" w:lineRule="exact"/>
        <w:rPr>
          <w:sz w:val="20"/>
          <w:szCs w:val="20"/>
          <w:color w:val="auto"/>
        </w:rPr>
      </w:pPr>
    </w:p>
    <w:p>
      <w:pPr>
        <w:ind w:right="40" w:firstLine="324"/>
        <w:spacing w:after="0" w:line="224" w:lineRule="auto"/>
        <w:rPr>
          <w:sz w:val="20"/>
          <w:szCs w:val="20"/>
          <w:color w:val="auto"/>
        </w:rPr>
      </w:pPr>
      <w:r>
        <w:rPr>
          <w:rFonts w:ascii="Times New Roman" w:cs="Times New Roman" w:eastAsia="Times New Roman" w:hAnsi="Times New Roman"/>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TOML exploration campaigns in 2013 and 2015, see Section 7 of the TOML Technical Report Summary.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180"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8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6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162"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154" w:lineRule="exact"/>
        <w:rPr>
          <w:sz w:val="20"/>
          <w:szCs w:val="20"/>
          <w:color w:val="auto"/>
        </w:rPr>
      </w:pPr>
    </w:p>
    <w:p>
      <w:pPr>
        <w:jc w:val="both"/>
        <w:ind w:right="200" w:firstLine="324"/>
        <w:spacing w:after="0" w:line="226" w:lineRule="auto"/>
        <w:rPr>
          <w:sz w:val="20"/>
          <w:szCs w:val="20"/>
          <w:color w:val="auto"/>
        </w:rPr>
      </w:pPr>
      <w:r>
        <w:rPr>
          <w:rFonts w:ascii="Times New Roman" w:cs="Times New Roman" w:eastAsia="Times New Roman" w:hAnsi="Times New Roman"/>
          <w:sz w:val="18"/>
          <w:szCs w:val="18"/>
          <w:color w:val="auto"/>
        </w:rPr>
        <w:t>The mineral resource estimate for the TOML Contract Area, and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is set forth below. The estimated mineral resources were determined in 2021, as of December 31, 2020, and also reflect the estimated mineral resources as of December 31, 2021 as none of the mineral resources in these areas were depleted by mining or any other activities.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8"/>
          <w:szCs w:val="18"/>
          <w:b w:val="1"/>
          <w:bCs w:val="1"/>
          <w:color w:val="auto"/>
        </w:rPr>
        <w:t>Mineral Resource Estimate December 31, 2021 and December 31, 2020</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In-Situ, for the TOML Contract Area within the CCZ at a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Tonnes</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Abundance</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Ni</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Cu</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Mn</w:t>
            </w:r>
          </w:p>
        </w:tc>
      </w:tr>
      <w:tr>
        <w:trPr>
          <w:trHeight w:val="24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Mineral Resource Classification</w:t>
            </w:r>
          </w:p>
        </w:tc>
        <w:tc>
          <w:tcPr>
            <w:tcW w:w="1160" w:type="dxa"/>
            <w:vAlign w:val="bottom"/>
            <w:gridSpan w:val="2"/>
          </w:tcPr>
          <w:p>
            <w:pPr>
              <w:jc w:val="center"/>
              <w:ind w:right="200"/>
              <w:spacing w:after="0" w:line="246" w:lineRule="exact"/>
              <w:rPr>
                <w:sz w:val="20"/>
                <w:szCs w:val="20"/>
                <w:color w:val="auto"/>
              </w:rPr>
            </w:pPr>
            <w:r>
              <w:rPr>
                <w:rFonts w:ascii="Times New Roman" w:cs="Times New Roman" w:eastAsia="Times New Roman" w:hAnsi="Times New Roman"/>
                <w:sz w:val="18"/>
                <w:szCs w:val="18"/>
                <w:b w:val="1"/>
                <w:bCs w:val="1"/>
                <w:color w:val="auto"/>
                <w:w w:val="97"/>
              </w:rPr>
              <w:t>(x10</w:t>
            </w:r>
            <w:r>
              <w:rPr>
                <w:rFonts w:ascii="Times New Roman" w:cs="Times New Roman" w:eastAsia="Times New Roman" w:hAnsi="Times New Roman"/>
                <w:sz w:val="26"/>
                <w:szCs w:val="26"/>
                <w:b w:val="1"/>
                <w:bCs w:val="1"/>
                <w:color w:val="auto"/>
                <w:w w:val="97"/>
                <w:vertAlign w:val="superscript"/>
              </w:rPr>
              <w:t>6</w:t>
            </w:r>
            <w:r>
              <w:rPr>
                <w:rFonts w:ascii="Times New Roman" w:cs="Times New Roman" w:eastAsia="Times New Roman" w:hAnsi="Times New Roman"/>
                <w:sz w:val="18"/>
                <w:szCs w:val="18"/>
                <w:b w:val="1"/>
                <w:bCs w:val="1"/>
                <w:color w:val="auto"/>
                <w:w w:val="97"/>
              </w:rPr>
              <w:t xml:space="preserve"> wet t)*</w:t>
            </w:r>
          </w:p>
        </w:tc>
        <w:tc>
          <w:tcPr>
            <w:tcW w:w="1080" w:type="dxa"/>
            <w:vAlign w:val="bottom"/>
            <w:gridSpan w:val="2"/>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(wet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 + Indicated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Inferred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90"/>
        </w:trPr>
        <w:tc>
          <w:tcPr>
            <w:tcW w:w="248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14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ind w:left="420" w:hanging="412"/>
        <w:spacing w:after="0"/>
        <w:tabs>
          <w:tab w:leader="none" w:pos="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totals are due to rounding of individual values. Mn, Ni, Cu and Co assays on samples dried at 105˚C.</w:t>
      </w:r>
    </w:p>
    <w:p>
      <w:pPr>
        <w:spacing w:after="0" w:line="22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62"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for offshore operating costs; 1,036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20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62"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Areas E and F for the first time, and high abundances and grades in Area 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nodule abundance sample information (from box core and photo profile) collected during the 2015 campaign;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abundance estimates within the no nodule domain to zero in areas covered by MBES (TOML Areas B, C, D, E, F);</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ordinary kriging (rather than inverse distance weighting) supported by short-range variogram to estimate abundance;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block model parent cell size related to improved sample spacing.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TOML Technical Report Summary and in this prospectus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prospectus,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to assume that any part or all of the mineral deposits in these categories will ever be converted into mineral reserves, as defined by the SEC.</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8"/>
          <w:szCs w:val="18"/>
          <w:b w:val="1"/>
          <w:bCs w:val="1"/>
          <w:color w:val="auto"/>
        </w:rPr>
        <w:t>Therefore, you are cautioned not to assume that all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prospects for economic extraction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8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main items of offshore infrastructure are the nodule collector vehicles, the riser, and three production support vessels (PSV).</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pyrometallurgical process is expected to form two byproducts as well as the matte for the hydrometallurgical refinery:</w:t>
      </w:r>
    </w:p>
    <w:p>
      <w:pPr>
        <w:spacing w:after="0" w:line="225"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electric furnace slag containing silica and 53% MnO that is intended to be sold as feed to the Si-Mn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converter aisle slag that could be used for aggregate in road construction or other applications.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Selection of ammonia as a principal reagent in the hydrometallurgical refinery means that an additional by-product — ammonium sulfate — may be generated. This could be sold into the fertilizer industry.</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production of battery-grade nickel and cobalt sulfates is targeted instead of nickel or cobalt cathodes or other intermediate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ind w:left="680" w:right="50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parts of the proposed process have commercial precedents in similar or analogous industries, however not as a whole continuous flowsheet.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Pay-metals are recovered in the following 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cathodes with an expected quality of ≥99.9% Cu.</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nickel sulfate.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cobalt sulfate.</w:t>
      </w:r>
    </w:p>
    <w:p>
      <w:pPr>
        <w:spacing w:after="0" w:line="225"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generating large waste streams, the process is expected to produce by-products including high manganese content furnace slag and ammonium sulfate.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assumptions used in this TOML Technical Report Summary will need to be verified as the project proceeds.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10 of the TOML Technical Report Summary.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TOML’s offshore exploration campaigns have included sampling to support environmental studies, collection of high-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imagery and environmental baseline studies. A number of future campaigns are planned to collect data on ocean currents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quality to assist plume modelling, environmental baseline studies, box core and multicorer sampling focused on benthic ecology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sediment characteristics.</w:t>
      </w:r>
    </w:p>
    <w:p>
      <w:pPr>
        <w:spacing w:after="0" w:line="20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76" w:lineRule="exact"/>
        <w:rPr>
          <w:sz w:val="20"/>
          <w:szCs w:val="20"/>
          <w:color w:val="auto"/>
        </w:rPr>
      </w:pPr>
    </w:p>
    <w:p>
      <w:pPr>
        <w:ind w:left="680" w:right="10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7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TOML nodule sampling confirms the existence, and abundance and grade continuity of the polymetallic nodules within the TOML Exploration Areas.</w:t>
      </w:r>
    </w:p>
    <w:p>
      <w:pPr>
        <w:spacing w:after="0" w:line="162"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Qualified Person considered the abundance estimates derived from photographs to date from TOML Areas B and C, to be suitable for estimating nodule abundance for the mineral resource.</w:t>
      </w:r>
    </w:p>
    <w:p>
      <w:pPr>
        <w:spacing w:after="0" w:line="16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https://themetals.co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our operations should be read in conjunction with the audited financial statements as of and for the years ended December 31, 2021 and 2020 and with our unaudited condensed consolidated financial statements as of and for the periods ended March 31, 2022 and 2021, in each case together with the related notes thereto, included elsewhere in this prospectus. This discussion contains forward-looking statements and involves numerous risks and uncertainties, including, but not limited to, those described under the heading “Risk Factors.”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19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2"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 As discussed under “Liquidity and Capital Resources” below, we will need additional funding to reach our expected commercial production in 2024.</w:t>
      </w:r>
    </w:p>
    <w:p>
      <w:pPr>
        <w:spacing w:after="0" w:line="18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Highlights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2021 was a significant year in our potential to exploit our resources and begin commercial production. Below are a few of the developments that occurred in 2021.</w:t>
      </w:r>
    </w:p>
    <w:p>
      <w:pPr>
        <w:spacing w:after="0" w:line="158" w:lineRule="exact"/>
        <w:rPr>
          <w:sz w:val="20"/>
          <w:szCs w:val="20"/>
          <w:color w:val="auto"/>
        </w:rPr>
      </w:pPr>
    </w:p>
    <w:p>
      <w:pPr>
        <w:ind w:left="680" w:right="60" w:hanging="321"/>
        <w:spacing w:after="0" w:line="28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Creation of TMC the metals company Inc. </w:t>
      </w:r>
      <w:r>
        <w:rPr>
          <w:rFonts w:ascii="Times New Roman" w:cs="Times New Roman" w:eastAsia="Times New Roman" w:hAnsi="Times New Roman"/>
          <w:sz w:val="18"/>
          <w:szCs w:val="18"/>
          <w:color w:val="auto"/>
        </w:rPr>
        <w:t>- On September 9, 2021, we completed the Business Combination, creating TMC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metals company Inc. and raised gross proceeds of $137.6 million in cash prior to transaction fees.</w:t>
      </w:r>
    </w:p>
    <w:p>
      <w:pPr>
        <w:spacing w:after="0" w:line="73" w:lineRule="exact"/>
        <w:rPr>
          <w:rFonts w:ascii="Times New Roman" w:cs="Times New Roman" w:eastAsia="Times New Roman" w:hAnsi="Times New Roman"/>
          <w:sz w:val="18"/>
          <w:szCs w:val="18"/>
          <w:color w:val="auto"/>
        </w:rPr>
      </w:pPr>
    </w:p>
    <w:p>
      <w:pPr>
        <w:ind w:left="680" w:right="100" w:hanging="321"/>
        <w:spacing w:after="0" w:line="26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Estimation of Resources - </w:t>
      </w:r>
      <w:r>
        <w:rPr>
          <w:rFonts w:ascii="Times New Roman" w:cs="Times New Roman" w:eastAsia="Times New Roman" w:hAnsi="Times New Roman"/>
          <w:sz w:val="18"/>
          <w:szCs w:val="18"/>
          <w:color w:val="auto"/>
        </w:rPr>
        <w:t>On January 15, 2021, AMC Consulting Ltd (“AMC”), a leading mining consulting firm, issued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revised independent resource estimate for the NORI Area D and for TOML in accordance with Canadian NI 43-101 standards, which showed an upgrade to the quantity and quality of resources over earlier estimates we had received.</w:t>
      </w:r>
    </w:p>
    <w:p>
      <w:pPr>
        <w:spacing w:after="0" w:line="103" w:lineRule="exact"/>
        <w:rPr>
          <w:rFonts w:ascii="Times New Roman" w:cs="Times New Roman" w:eastAsia="Times New Roman" w:hAnsi="Times New Roman"/>
          <w:sz w:val="18"/>
          <w:szCs w:val="18"/>
          <w:color w:val="auto"/>
        </w:rPr>
      </w:pPr>
    </w:p>
    <w:p>
      <w:pPr>
        <w:ind w:left="680" w:right="160" w:hanging="321"/>
        <w:spacing w:after="0" w:line="26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 of Value – </w:t>
      </w:r>
      <w:r>
        <w:rPr>
          <w:rFonts w:ascii="Times New Roman" w:cs="Times New Roman" w:eastAsia="Times New Roman" w:hAnsi="Times New Roman"/>
          <w:sz w:val="18"/>
          <w:szCs w:val="18"/>
          <w:color w:val="auto"/>
        </w:rPr>
        <w:t>On March 17, 2021, AMC issued an independent SK 1300 compliant initial assessment report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NORI Area D property which indicated life of project net cash flow of $30.6 billion and a project NPV of $6.8 billion using a 9% discount rate and assuming metal prices for nickel metal $16,472/t; nickel in nickel sulfate $18,807/t Ni; copper metal $6,872/t; cobalt metal $46,333/t; cobalt in cobalt sulfate $56,920/t Co; manganese in manganese silicate $4.50/dmtu Mn.</w:t>
      </w:r>
    </w:p>
    <w:p>
      <w:pPr>
        <w:spacing w:after="0" w:line="108" w:lineRule="exact"/>
        <w:rPr>
          <w:rFonts w:ascii="Times New Roman" w:cs="Times New Roman" w:eastAsia="Times New Roman" w:hAnsi="Times New Roman"/>
          <w:sz w:val="18"/>
          <w:szCs w:val="18"/>
          <w:color w:val="auto"/>
        </w:rPr>
      </w:pPr>
    </w:p>
    <w:p>
      <w:pPr>
        <w:ind w:left="680" w:right="20" w:hanging="321"/>
        <w:spacing w:after="0" w:line="259"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Expected Regulatory Timeline </w:t>
      </w:r>
      <w:r>
        <w:rPr>
          <w:rFonts w:ascii="Times New Roman" w:cs="Times New Roman" w:eastAsia="Times New Roman" w:hAnsi="Times New Roman"/>
          <w:sz w:val="18"/>
          <w:szCs w:val="18"/>
          <w:color w:val="auto"/>
        </w:rPr>
        <w:t>- In July 2021, Nauru exercised its right under 1994 UNCLOS Implementation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requesting that the ISA complete its adoption of the exploitation regulations within two years. The ISA met in December 2021, laying out a schedule of work to be performed in 2022 with the goal of finalizing regulations regarding the exploitation of seabed minerals in the Area by July 2023. There can be no assurances, however, that such regulations will be approved by then, or at all.</w:t>
      </w:r>
    </w:p>
    <w:p>
      <w:pPr>
        <w:spacing w:after="0" w:line="98" w:lineRule="exact"/>
        <w:rPr>
          <w:rFonts w:ascii="Times New Roman" w:cs="Times New Roman" w:eastAsia="Times New Roman" w:hAnsi="Times New Roman"/>
          <w:sz w:val="18"/>
          <w:szCs w:val="18"/>
          <w:color w:val="auto"/>
        </w:rPr>
      </w:pPr>
    </w:p>
    <w:p>
      <w:pPr>
        <w:ind w:left="680" w:right="40" w:hanging="321"/>
        <w:spacing w:after="0" w:line="26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of Nodules into Salable Metal – </w:t>
      </w:r>
      <w:r>
        <w:rPr>
          <w:rFonts w:ascii="Times New Roman" w:cs="Times New Roman" w:eastAsia="Times New Roman" w:hAnsi="Times New Roman"/>
          <w:sz w:val="18"/>
          <w:szCs w:val="18"/>
          <w:color w:val="auto"/>
        </w:rPr>
        <w:t>We completed pyrometallurgical pilot testing of polymetallic nodules producing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matte product containing &gt; 80% combined Ni, Cu and Co which is a suitable feedstock to produce critical metals essential for EV batteries and wiring. We also produced a manganese silicate product which can be sold direct to market and further processed to manganese alloy, a critical input to steel production.</w:t>
      </w:r>
    </w:p>
    <w:p>
      <w:pPr>
        <w:spacing w:after="0" w:line="108" w:lineRule="exact"/>
        <w:rPr>
          <w:rFonts w:ascii="Times New Roman" w:cs="Times New Roman" w:eastAsia="Times New Roman" w:hAnsi="Times New Roman"/>
          <w:sz w:val="18"/>
          <w:szCs w:val="18"/>
          <w:color w:val="auto"/>
        </w:rPr>
      </w:pPr>
    </w:p>
    <w:p>
      <w:pPr>
        <w:ind w:left="680" w:hanging="321"/>
        <w:spacing w:after="0" w:line="26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Development of Pilot Nodule Collection System - </w:t>
      </w:r>
      <w:r>
        <w:rPr>
          <w:rFonts w:ascii="Times New Roman" w:cs="Times New Roman" w:eastAsia="Times New Roman" w:hAnsi="Times New Roman"/>
          <w:sz w:val="18"/>
          <w:szCs w:val="18"/>
          <w:color w:val="auto"/>
        </w:rPr>
        <w:t>In collaboration with Allseas, the ultra-deep-water drillship,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Hidden Gem </w:t>
      </w:r>
      <w:r>
        <w:rPr>
          <w:rFonts w:ascii="Times New Roman" w:cs="Times New Roman" w:eastAsia="Times New Roman" w:hAnsi="Times New Roman"/>
          <w:sz w:val="18"/>
          <w:szCs w:val="18"/>
          <w:color w:val="auto"/>
        </w:rPr>
        <w:t>was modified and classified as the world’s first sub-sea mining vessel. Allseas progressed the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assembly of the collector vehicle and vertical transportation system throughout 2021. We expect to complete this work in time for our pilot nodule collection tests in 2022.</w:t>
      </w:r>
    </w:p>
    <w:p>
      <w:pPr>
        <w:spacing w:after="0" w:line="108" w:lineRule="exact"/>
        <w:rPr>
          <w:rFonts w:ascii="Times New Roman" w:cs="Times New Roman" w:eastAsia="Times New Roman" w:hAnsi="Times New Roman"/>
          <w:sz w:val="18"/>
          <w:szCs w:val="18"/>
          <w:color w:val="auto"/>
        </w:rPr>
      </w:pPr>
    </w:p>
    <w:p>
      <w:pPr>
        <w:ind w:left="680" w:right="140" w:hanging="321"/>
        <w:spacing w:after="0" w:line="26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Completion of Deep-Sea Environmental Baseline Program and Submission of Collector Test EIS – </w:t>
      </w:r>
      <w:r>
        <w:rPr>
          <w:rFonts w:ascii="Times New Roman" w:cs="Times New Roman" w:eastAsia="Times New Roman" w:hAnsi="Times New Roman"/>
          <w:sz w:val="18"/>
          <w:szCs w:val="18"/>
          <w:color w:val="auto"/>
        </w:rPr>
        <w:t>We completed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offshore campaigns in 2021, including the offshore sampling and data collection for our environmental baseline program. The EIS for the pilot test in the NORI Area D was submitted in July 2021 and the test is planned for the second half of 2022.</w:t>
      </w:r>
    </w:p>
    <w:p>
      <w:pPr>
        <w:spacing w:after="0" w:line="89" w:lineRule="exact"/>
        <w:rPr>
          <w:rFonts w:ascii="Times New Roman" w:cs="Times New Roman" w:eastAsia="Times New Roman" w:hAnsi="Times New Roman"/>
          <w:sz w:val="18"/>
          <w:szCs w:val="18"/>
          <w:color w:val="auto"/>
        </w:rPr>
      </w:pPr>
    </w:p>
    <w:p>
      <w:pPr>
        <w:ind w:left="680" w:right="160" w:hanging="321"/>
        <w:spacing w:after="0" w:line="28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for Potential Reduced Impact - </w:t>
      </w:r>
      <w:r>
        <w:rPr>
          <w:rFonts w:ascii="Times New Roman" w:cs="Times New Roman" w:eastAsia="Times New Roman" w:hAnsi="Times New Roman"/>
          <w:sz w:val="18"/>
          <w:szCs w:val="18"/>
          <w:color w:val="auto"/>
        </w:rPr>
        <w:t>Independent plume modelling for the EIS was undertaken in 2021 which showed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limited, localized impact than anticipated.</w:t>
      </w:r>
    </w:p>
    <w:p>
      <w:pPr>
        <w:spacing w:after="0" w:line="87" w:lineRule="exact"/>
        <w:rPr>
          <w:rFonts w:ascii="Times New Roman" w:cs="Times New Roman" w:eastAsia="Times New Roman" w:hAnsi="Times New Roman"/>
          <w:sz w:val="18"/>
          <w:szCs w:val="18"/>
          <w:color w:val="auto"/>
        </w:rPr>
      </w:pPr>
    </w:p>
    <w:p>
      <w:pPr>
        <w:ind w:left="680" w:right="120" w:hanging="321"/>
        <w:spacing w:after="0" w:line="26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Transparency – </w:t>
      </w:r>
      <w:r>
        <w:rPr>
          <w:rFonts w:ascii="Times New Roman" w:cs="Times New Roman" w:eastAsia="Times New Roman" w:hAnsi="Times New Roman"/>
          <w:sz w:val="18"/>
          <w:szCs w:val="18"/>
          <w:color w:val="auto"/>
        </w:rPr>
        <w:t>We partnered with Kongsberg Digital to develop the digital twin required to support our Adaptive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System which will provide real time visibility to stakeholders of the sub-sea operations, and will enable us to operate safely, within acceptable boundaries.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First Quarter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Building on the significant achievements in 2021, below are some of the major developments that occurred in the first quarter 2022.</w:t>
      </w:r>
    </w:p>
    <w:p>
      <w:pPr>
        <w:spacing w:after="0" w:line="221" w:lineRule="exact"/>
        <w:rPr>
          <w:sz w:val="20"/>
          <w:szCs w:val="20"/>
          <w:color w:val="auto"/>
        </w:rPr>
      </w:pPr>
    </w:p>
    <w:p>
      <w:pPr>
        <w:ind w:left="680" w:right="200" w:hanging="321"/>
        <w:spacing w:after="0" w:line="25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Zero Plant: </w:t>
      </w:r>
      <w:r>
        <w:rPr>
          <w:rFonts w:ascii="Times New Roman" w:cs="Times New Roman" w:eastAsia="Times New Roman" w:hAnsi="Times New Roman"/>
          <w:sz w:val="18"/>
          <w:szCs w:val="18"/>
          <w:color w:val="auto"/>
        </w:rPr>
        <w:t>In March 2022, we announced that we entered into a non-binding memorandum of understanding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collaboration with Epsilon Carbon to complete a pre-feasibility study for a commercial plant in India, powered by renewables and targeting capacity to process approximately 1.3 million tonnes per annum (“Mtpa”) of wet nodules into more than 30,000 tonnes per annum (“TPA”) of an intermediate nickel-copper-cobalt matte product used in active cathode material for nickel-rich cathode chemistries for lithium-ion batteries and more than 750,000 TPA of manganese silicate by-product expected to be used in manganese alloy production for the steel industry.</w:t>
      </w:r>
    </w:p>
    <w:p>
      <w:pPr>
        <w:spacing w:after="0" w:line="101" w:lineRule="exact"/>
        <w:rPr>
          <w:rFonts w:ascii="Times New Roman" w:cs="Times New Roman" w:eastAsia="Times New Roman" w:hAnsi="Times New Roman"/>
          <w:sz w:val="18"/>
          <w:szCs w:val="18"/>
          <w:color w:val="auto"/>
        </w:rPr>
      </w:pPr>
    </w:p>
    <w:p>
      <w:pPr>
        <w:ind w:left="680" w:hanging="321"/>
        <w:spacing w:after="0" w:line="26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Zero System: </w:t>
      </w:r>
      <w:r>
        <w:rPr>
          <w:rFonts w:ascii="Times New Roman" w:cs="Times New Roman" w:eastAsia="Times New Roman" w:hAnsi="Times New Roman"/>
          <w:sz w:val="18"/>
          <w:szCs w:val="18"/>
          <w:color w:val="auto"/>
        </w:rPr>
        <w:t>In March 2022, our subsidiary, NORI, and Allseas entered into a non-binding term sheet for the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operation of a commercial nodule collection system. The pilot nodule collection system developed and currently being tested by Allseas is expected to be upgraded to a commercial system with a targeted production capacity of approximately 1.3 Mtpa of wet nodules, with expected production readiness by the fourth quarter of 2024.</w:t>
      </w:r>
    </w:p>
    <w:p>
      <w:pPr>
        <w:spacing w:after="0" w:line="108" w:lineRule="exact"/>
        <w:rPr>
          <w:rFonts w:ascii="Times New Roman" w:cs="Times New Roman" w:eastAsia="Times New Roman" w:hAnsi="Times New Roman"/>
          <w:sz w:val="18"/>
          <w:szCs w:val="18"/>
          <w:color w:val="auto"/>
        </w:rPr>
      </w:pPr>
    </w:p>
    <w:p>
      <w:pPr>
        <w:ind w:left="680" w:right="60" w:hanging="321"/>
        <w:spacing w:after="0" w:line="259"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Filings: </w:t>
      </w:r>
      <w:r>
        <w:rPr>
          <w:rFonts w:ascii="Times New Roman" w:cs="Times New Roman" w:eastAsia="Times New Roman" w:hAnsi="Times New Roman"/>
          <w:sz w:val="18"/>
          <w:szCs w:val="18"/>
          <w:color w:val="auto"/>
        </w:rPr>
        <w:t>In March 2022, a revised Environmental Impact Study for the collector test was filed with the 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filed July 29, 2021), incorporating stakeholder feedback and baseline results collected in 2021. Subsequently, a detailed Environmental Management and Monitoring Plan for the collector test was filed with the ISA on May 2, 2022. This documentation is required for the collector test to proceed, which is currently planned for the third quarter of 2022 in the NORI Area D.</w:t>
      </w:r>
    </w:p>
    <w:p>
      <w:pPr>
        <w:spacing w:after="0" w:line="1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Pilot Collection System Trials:</w:t>
      </w:r>
    </w:p>
    <w:p>
      <w:pPr>
        <w:spacing w:after="0" w:line="144" w:lineRule="exact"/>
        <w:rPr>
          <w:sz w:val="20"/>
          <w:szCs w:val="20"/>
          <w:color w:val="auto"/>
        </w:rPr>
      </w:pPr>
    </w:p>
    <w:p>
      <w:pPr>
        <w:ind w:left="1340" w:right="560" w:hanging="333"/>
        <w:spacing w:after="0" w:line="269" w:lineRule="auto"/>
        <w:tabs>
          <w:tab w:leader="none" w:pos="1340" w:val="left"/>
        </w:tabs>
        <w:numPr>
          <w:ilvl w:val="0"/>
          <w:numId w:val="48"/>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Harbor Trials: </w:t>
      </w:r>
      <w:r>
        <w:rPr>
          <w:rFonts w:ascii="Times New Roman" w:cs="Times New Roman" w:eastAsia="Times New Roman" w:hAnsi="Times New Roman"/>
          <w:sz w:val="18"/>
          <w:szCs w:val="18"/>
          <w:color w:val="auto"/>
        </w:rPr>
        <w:t>In March 2022, the pilot collector vehicle underwent extensive equipment testing in the Port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Rotterdam and all systems were shown to be fully functional.</w:t>
      </w:r>
    </w:p>
    <w:p>
      <w:pPr>
        <w:spacing w:after="0" w:line="99" w:lineRule="exact"/>
        <w:rPr>
          <w:rFonts w:ascii="Courier New" w:cs="Courier New" w:eastAsia="Courier New" w:hAnsi="Courier New"/>
          <w:sz w:val="18"/>
          <w:szCs w:val="18"/>
          <w:color w:val="auto"/>
        </w:rPr>
      </w:pPr>
    </w:p>
    <w:p>
      <w:pPr>
        <w:ind w:left="1340" w:right="180" w:hanging="333"/>
        <w:spacing w:after="0" w:line="254" w:lineRule="auto"/>
        <w:tabs>
          <w:tab w:leader="none" w:pos="1340" w:val="left"/>
        </w:tabs>
        <w:numPr>
          <w:ilvl w:val="0"/>
          <w:numId w:val="48"/>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North Sea Drive Trials: </w:t>
      </w:r>
      <w:r>
        <w:rPr>
          <w:rFonts w:ascii="Times New Roman" w:cs="Times New Roman" w:eastAsia="Times New Roman" w:hAnsi="Times New Roman"/>
          <w:sz w:val="18"/>
          <w:szCs w:val="18"/>
          <w:color w:val="auto"/>
        </w:rPr>
        <w:t>In March 2022, the pilot collector vehicle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vessel underwent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of critical deployment and mobility functions in the Dutch Sector of the North Sea, covering a total of 4,533 meters. All systems were shown to be functional. Engineers successfully completed a variety of tests of the dynamic positioning system aboard Hidden Gem in advance of pilot trials in the NORI Area D in the CCZ expected in the second half of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March 31, 2022</w:t>
      </w:r>
    </w:p>
    <w:p>
      <w:pPr>
        <w:spacing w:after="0" w:line="225" w:lineRule="exact"/>
        <w:rPr>
          <w:sz w:val="20"/>
          <w:szCs w:val="20"/>
          <w:color w:val="auto"/>
        </w:rPr>
      </w:pPr>
    </w:p>
    <w:p>
      <w:pPr>
        <w:ind w:left="680" w:right="140" w:hanging="321"/>
        <w:spacing w:after="0" w:line="26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Pilot Collection System Trials - Atlantic Deep-Water Trials: </w:t>
      </w:r>
      <w:r>
        <w:rPr>
          <w:rFonts w:ascii="Times New Roman" w:cs="Times New Roman" w:eastAsia="Times New Roman" w:hAnsi="Times New Roman"/>
          <w:sz w:val="18"/>
          <w:szCs w:val="18"/>
          <w:color w:val="auto"/>
        </w:rPr>
        <w:t>In April 2022, segments of the pilot nodule riser system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mobilized onboard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for planned deep-sea testing with the collector vehicle in the Eastern Atlantic Basin. Vehicle drive testing down to 2,470-meter depths has now occurred, which we expect will be followed by tests in 1,500-meter depths deploying the riser and the collector, connecting them, then bringing them back onboard.</w:t>
      </w:r>
    </w:p>
    <w:p>
      <w:pPr>
        <w:spacing w:after="0" w:line="95" w:lineRule="exact"/>
        <w:rPr>
          <w:rFonts w:ascii="Times New Roman" w:cs="Times New Roman" w:eastAsia="Times New Roman" w:hAnsi="Times New Roman"/>
          <w:sz w:val="18"/>
          <w:szCs w:val="18"/>
          <w:color w:val="auto"/>
        </w:rPr>
      </w:pPr>
    </w:p>
    <w:p>
      <w:pPr>
        <w:ind w:left="680" w:right="20" w:hanging="321"/>
        <w:spacing w:after="0" w:line="259"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Lifecycle Impact Assessment of NORI Area D Project: </w:t>
      </w:r>
      <w:r>
        <w:rPr>
          <w:rFonts w:ascii="Times New Roman" w:cs="Times New Roman" w:eastAsia="Times New Roman" w:hAnsi="Times New Roman"/>
          <w:sz w:val="18"/>
          <w:szCs w:val="18"/>
          <w:color w:val="auto"/>
        </w:rPr>
        <w:t>In April 2022, we announced that we chose the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lithium-ion battery supply chain research firm, Benchmark Mineral Intelligence (“Benchmark”), to conduct an independent lifecycle assessment of the environmental impacts of our planned NORI Area D polymetallic nodule project and compare these impacts to producing the same metals from commonly used production pathways using conventional land ores. Benchmark anticipates completing its comprehensive Lifecycle Impact Assessment for us in mid-Summer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7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NORI Exploration Contract. </w:t>
      </w:r>
      <w:r>
        <w:rPr>
          <w:rFonts w:ascii="Times New Roman" w:cs="Times New Roman" w:eastAsia="Times New Roman" w:hAnsi="Times New Roman"/>
          <w:sz w:val="18"/>
          <w:szCs w:val="18"/>
          <w:color w:val="auto"/>
        </w:rPr>
        <w:t>NORI, our wholly-owned subsidiary, was granted the NORI Exploration Contract on July 22,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sponsorship of Nauru. This Exploration Contract provides NORI with exclusive rights to explore for polymetallic nodules in an area covering 74,830 km2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 The NORI Area D is the seafloor parcel where we have performed the most resource definition and environmental work to date. NORI commissioned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the registration statement to which this prospectus forms a part.</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TOML Exploration Contract. </w:t>
      </w:r>
      <w:r>
        <w:rPr>
          <w:rFonts w:ascii="Times New Roman" w:cs="Times New Roman" w:eastAsia="Times New Roman" w:hAnsi="Times New Roman"/>
          <w:sz w:val="18"/>
          <w:szCs w:val="18"/>
          <w:color w:val="auto"/>
        </w:rPr>
        <w:t>TOML our wholly-owned subsidiary, was granted the TOML Exploration Contract on January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under the sponsorship of Tonga. TOML was acquired by us on March 31, 2020 for $32 million from Deep Sea Mining Finance Ltd. (“DSMF”). The TOML Exploration Contract provides TOML with exclusive rights to explore for polymetallic nodules in an area covering 74,713 km2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the registration statement to which this prospectus forms a part.</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Marawa Agreements. </w:t>
      </w:r>
      <w:r>
        <w:rPr>
          <w:rFonts w:ascii="Times New Roman" w:cs="Times New Roman" w:eastAsia="Times New Roman" w:hAnsi="Times New Roman"/>
          <w:sz w:val="18"/>
          <w:szCs w:val="18"/>
          <w:color w:val="auto"/>
        </w:rPr>
        <w:t>Marawa, an entity owned and sponsored by Kiribati, was granted the Marawa Exploration Contract 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2012. DGE, our wholly-owned subsidiary, entered into agreements with Marawa and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we expect to commit future resources as contractually agreed with Marawa to evaluate the future commercial viability of any project in such area. We have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subsection entitled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Market Risk</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TMC is committed to adopting the Task Force on Climate-Related Financial Disclosures recommendations. In our recently published inaugural Impact Report, we provided the same type of climate-related disclosure to the one in this prospectus.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working on a plan for continuous reduction of emissions and eventually developing operations with as close to zero emissions as possible. When selecting the location of our onshore plant, one of our requirements is access to renewable energy as our metallurgical process will be the most energy intensive step in our operations. In addition, we are looking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policy risks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 in 2022.</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support the EV and battery storage value chain, we are looking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risks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risks</w:t>
      </w:r>
    </w:p>
    <w:p>
      <w:pPr>
        <w:spacing w:after="0" w:line="229"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While there are positive signs that the current situation is being managed well in most parts of the world and country-wide restrictions and lockdowns are subsiding, there can be no guarantee that any new COVID-19 variant would not result in reinstating restrictions which may impact our business.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Offshore, in 2021, we have safely and successfully completed five complex campaigns in our NORI Area D in the CCZ involving crew and scientists departing from and returning to San Diego from around the world. In close coordination with our partners,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85"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During the first quarter of 2022, active work comprised of the integration of the collector and riser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and completion of harbor testing, offshore dynamic positioning trials and the North Sea drive test. There were some sporadic outbreaks of COVID on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while the vessel was docked in Rotterdam requiring isolation of some of the members of the work crews. The project plan was adjusted to minimize the impact on the project’s schedule resulting in little impact to the overall project schedule. Allseas implemented pre-departure COVID protocols and there were no reported COVID incidents during the offshore dynamic positioning trials and the North Sea drive test.</w:t>
      </w:r>
    </w:p>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included in this 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Financial Statements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we restated our financial statements as of and for the three-month period ended March 31, 2021 and the accompanying unaudited condensed consolidated financial statements included in this prospectus include the restated financial statements.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restatement resulted from our expensing of options granted in the first quarter of 2021 under our Short-Term Incentive Plan based on the grantee’s historical start date with us rather than the grant date of the options on March 4, 2021, as required by U.S. GAAP. This resulted in a $1.8 million overstatement of stock-based compensation expenses as of and for the three-month period ended March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TOML Acquisition</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March 31, 2020, DeepGreen entered into an acquisition agreement to acquire the polymetallic nodules business unit of TOML and other entities in the group (the “TOML Group”) from DSMF (the “TOML Acquisition”). Total purchase price of the TOML Acquisition, before transaction costs, was $32.0 million. TOML holds the TOML Exploration Contract, and some exploration related equipment. The TOML Group also holds various patents and an application right with respect to a prospecting exploration contract in Kiribati.</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to be paid on January 31, 2021. The common share consideration paid by DeepGreen was valued at $3.11 per DeepGreen common share based on the recent private placements completed by DeepGreen for a total of $28.0 million.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DeepGreen had the option of settling the deferred consideration in either cash or common shares of DeepGreen at its sole discretion. In January 2021, the arrangement with DSMF was amended to pay the entire deferred consideration in cash. The deferred consideration was fully settled on June 30, 2021.</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DeepGreen determined that the value of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$21.1 million for the three months ended March 31, 2022, compared to a net loss of $55.7 million in the same quarter of 2021. We have an accumulated deficit of approximately $325.3 million from inception through March 31, 2022.</w:t>
      </w:r>
    </w:p>
    <w:p>
      <w:pPr>
        <w:spacing w:after="0" w:line="17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DeepGreen was determined to be the accounting acquirer and therefore, all information prior to the Business Combination, including the prior period financial information, represent the financial condition and operating results of DeepGreen, and we are required to re-measure the fair value of our Private Warrants at the end of each reporting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months ended March 31, 2022 and 2021. Our accounting policies are described in Note 3 “Summary of Significant Accounting Policies” in our condensed consolidated interim financial statements for the period ending March 31, 2022 filed as part of this prospectus.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000" w:type="dxa"/>
            <w:vAlign w:val="bottom"/>
            <w:tcBorders>
              <w:bottom w:val="single" w:sz="8" w:color="auto"/>
            </w:tcBorders>
            <w:gridSpan w:val="7"/>
          </w:tcPr>
          <w:p>
            <w:pPr>
              <w:ind w:left="1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820" w:type="dxa"/>
            <w:vAlign w:val="bottom"/>
          </w:tcPr>
          <w:p>
            <w:pPr>
              <w:spacing w:after="0"/>
              <w:rPr>
                <w:sz w:val="20"/>
                <w:szCs w:val="20"/>
                <w:color w:val="auto"/>
              </w:rPr>
            </w:pPr>
          </w:p>
        </w:tc>
        <w:tc>
          <w:tcPr>
            <w:tcW w:w="28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196"/>
        </w:trPr>
        <w:tc>
          <w:tcPr>
            <w:tcW w:w="3820" w:type="dxa"/>
            <w:vAlign w:val="bottom"/>
          </w:tcPr>
          <w:p>
            <w:pPr>
              <w:spacing w:after="0"/>
              <w:rPr>
                <w:sz w:val="17"/>
                <w:szCs w:val="17"/>
                <w:color w:val="auto"/>
              </w:rPr>
            </w:pPr>
          </w:p>
        </w:tc>
        <w:tc>
          <w:tcPr>
            <w:tcW w:w="3020" w:type="dxa"/>
            <w:vAlign w:val="bottom"/>
            <w:gridSpan w:val="2"/>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(dollar amounts</w:t>
            </w:r>
          </w:p>
        </w:tc>
        <w:tc>
          <w:tcPr>
            <w:tcW w:w="110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09"/>
        </w:trPr>
        <w:tc>
          <w:tcPr>
            <w:tcW w:w="3820" w:type="dxa"/>
            <w:vAlign w:val="bottom"/>
          </w:tcPr>
          <w:p>
            <w:pPr>
              <w:spacing w:after="0"/>
              <w:rPr>
                <w:sz w:val="18"/>
                <w:szCs w:val="18"/>
                <w:color w:val="auto"/>
              </w:rPr>
            </w:pPr>
          </w:p>
        </w:tc>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March 31, 2022 were $7.3 million, compared to $38.1 million for the same period in 2021. The decrease of $30.8 million was primarily due a decrease in offshore campaign costs of $16.4 million, due to the completion of the NORI Area D baseline campaigns in the fourth quarter of 2021. The first quarter of 2021 offshore campaign costs included a fair value increase of $12.2 million that was recognized on the issuance of DeepGreen common shares to Maersk. The decrease in the first quarter year over year also reflects a reduction in share-based compensation of $15.2 million in the 2022 period, as a significant number of stock options were awarded in March 2021, in recognition of past services and in anticipation of the Business Combination, while no stock options were awarded in the first quarter of 2022. Work on the PMTS progressed in the first quarter of 2022 resulting in increased PMTS expenses of $1.3 million, which partially offset the above expense reductions.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G&amp;A expenses for the three months ended March 31, 2022 were $8.6 million compared to $17.4 million for the same period in 2021. The decrease of $8.8 million in G&amp;A expenses in the first quarter of 2022 was mainly the result of lower share-based compensation in the 2022 period as the first quarter of 2021 included the award of a significant number of stock options in recognition of past services and in anticipation of the Business Combination. This decrease was partially offset by higher G&amp;A expenses in the first quarter of 2022, reflecting an increase in personnel, legal and other expenses associated with being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first quarter of 2022 resulted in a charge of $5.2 million. The charge was primarily due to a 25% increase in our share price in the first three months of 2022. The warrants liability was initially recorded as part of the Business Combination and therefore did not exist in the prior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and 2020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40" w:type="dxa"/>
            <w:vAlign w:val="bottom"/>
            <w:gridSpan w:val="7"/>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gridSpan w:val="6"/>
          </w:tcPr>
          <w:p>
            <w:pPr>
              <w:jc w:val="right"/>
              <w:ind w:right="10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5"/>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except as noted)</w:t>
            </w:r>
          </w:p>
        </w:tc>
        <w:tc>
          <w:tcPr>
            <w:tcW w:w="6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$ 12,825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$ 13,137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$ 48,881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$ 19,798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$ 17,085</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141,299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$ 56,631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Exploration and evaluation expenses for the year ended December 31, 2021 were $93.0 million, compared to $48.9 million for the year ended December 31, 2020. The increase of $44 million was primarily due to the recognition of $27.0 million of share-</w:t>
      </w:r>
    </w:p>
    <w:p>
      <w:pPr>
        <w:ind w:right="40"/>
        <w:spacing w:after="0" w:line="251" w:lineRule="auto"/>
        <w:rPr>
          <w:sz w:val="20"/>
          <w:szCs w:val="20"/>
          <w:color w:val="auto"/>
        </w:rPr>
      </w:pPr>
      <w:r>
        <w:rPr>
          <w:rFonts w:ascii="Times New Roman" w:cs="Times New Roman" w:eastAsia="Times New Roman" w:hAnsi="Times New Roman"/>
          <w:sz w:val="18"/>
          <w:szCs w:val="18"/>
          <w:color w:val="auto"/>
        </w:rPr>
        <w:t>based compensation granted to personnel during the year ended December 31, 2021 as compared to $0.8 million during the same period in 2020. The share-based compensation cost for stock options and restricted share units granted to personnel involved in exploration activities is included within exploration and evaluation expenses for the periods presented. The increase in share-based compensation was mainly due to the completion of the Business Combination and increased project activity resulting in additional personnel and new incentive plans, as well as an increase in the fair value of DeepGreen common shares compared to the prior year. In addition, the cost of offshore campaigns that we undertook during the year ended December 31, 2021 was $39.0 million as compared to $28.0 million during the same period in 2020, reflecting increased activity to complete environmental baseline studies. In 2021, we had a strategic partnership with Maersk, as described below, pursuant to which we settled the costs for marine vessel services provided by Maersk through the issuance of common shares. Such common shares were recognized at their fair value and the changes in such fair value had a significant impact on exploration and evaluation expenditures in 2021. During March 2021, we revised our previous arrangement with Maersk, to require settlement of marine vessel services in cash instead of common shares. Cost incurred for the PMTS to Allseas during the year ended December 31, 2021 was $14.3 million, representing the first two milestone payments to Allseas under Amendment 3 of our PMTS agreement with Allseas compared to $11.7 million during the same period in 2020, whereby we paid $10 million and issued 3.2 million common shares to Allseas under Amendment 2 of our PMTS agreement with Allseas.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G&amp;A expenses for the year ended December 31, 2021 were $56.6 million compared to $7.7 million in 2020. The increase in G&amp;A in 2021 was a result of higher share-based compensation which increased by $30.1 million, reflecting the impact of new incentive plans, with higher issuances and vesting, with an increased workforce, as well as an increase in the fair value of DeepGreen common shares compared to the prior year. The level of corporate activities and the number of corporate personnel increased as a result of the Business Combination. In addition, an expense of $3.9 million was recognized in the third quarter of 2021, as the board of directors approved amendments to certain stock option grants to extend their initial terms. Professional and consulting fees, and investor relations expenses increased by $8.6 million and $5.3 million, respectively, as compared to 2020 due to increased corporate activities as we became a public company. We expect G&amp;A expenses, excluding those related to the Business Combination, to continue to increase as we expand our infrastructure to prepare for commencement of production and due to additional legal, accounting, insurance and other expenses associated with being a public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6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recognized interest expense of $1.0 million as a result of the issuance of 7% convertible debentures of $26.0 million during February 2021, prior to their conversion into our common shares in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warrants liability primarily consists of the change in the fair value of the 9,500,000 warrants issued to Sustainable Opportunities Holdings LLC concurrently with SOAC’s initial public offering (the “Private Warrants”). For accounting purposes, we are considered to have issued the Private Warrants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Prior to the Closing,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approximately $137.6 million ($104.5 million net of transaction fees). As of March 31, 2022, we had cash and cash equivalents of $69.0 million.</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received lower than expected cash proceeds upon closing of the Business Combination resulting from higher than expected redemptions of SOAC’s Class A ordinary shares and the default by certain PIPE investors in their funding obligations. As a result, we revised our work plan to focus on activities necessary to have an application ready for submission to the ISA in the second half of 2023 for an exploitation contract for the NORI Area D and stopped and/or deferred work and expenses assocaited with other activities.</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we will need to seek additional equity, debt or other financing and there is no assurance that such financing will be available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Financings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issued 6.6 million DeepGreen Common Shares in private placements for total proceeds of $20.4 million. Inclusive in this was a subscription from Allseas for 3.2 million DeepGreen Common Shares for total proceeds of $10 million.</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We further issued 3.2 million DeepGreen Common Shares for services to Allseas at a price of $3.11 per share for total value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$10.0 million and 4.7 million DeepGreen Common Shares for marine vessel services to Maersk to settle invoiced cost of $5.1 million at an agreed upon contract price of $1.08 per share. Such shares issued to Maersk were recognized for accounting purposes at $3.11 per share.</w:t>
      </w:r>
    </w:p>
    <w:p>
      <w:pPr>
        <w:spacing w:after="0" w:line="1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option holders exercised 2.6 million stock options for total proceeds of $0.9 million at an average exercise price of $0.42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Financings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issued 4.2 million DeepGreen Common Shares to Maersk for marine vessel services. Such Common Shares were valued at $6.05 per DeepGreen Common Share. Certain holders of stock options exercised their rights in exchange for 6.3 million DeepGreen Common Shares. The weighted average exercise price of these stock options was $0.67 per DeepGreen Common Share resulting in total proceeds of $4.3 million.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$8.64 per share.</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18, 2021, debentures totaling $0.5 million were converted into 50,000 DeepGreen Common Shares, and then converted into 57,894 of our common shares upon the Closing. On September 9, 2021, the Company issued 3,068,673 common shares, after adjustment for the exchange ratio, in connection with the Business Combination, upon conversion of the outstanding debentures consisting of $25.5 million and $1.0 million of principal and accrued interest, respectively.</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NORI and TOML seek to obtain exploitation contracts, perform the required environmental studies and complete pre-feasibility and feasibility studies. We believe that our cash on hand will be sufficient to meet our working capital and capital expenditure requirements for at least the next twelve months from the date of this prospectus, however, we may need additional cash resources in this period due to changes in business conditions or other developments, including, but not limited to, deferral of approvals, capital and operating cost escalation, currently unrecognized technical and development challenges, our ability to pay certain vendors and suppliers in our common shares or changes in external business environment. We will need, and expect to seek, additional financing to fund our operations beyond this period and to fund our activities to reach potential commercial production in 2024. If the equity, debt or other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March 31, 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4120" w:type="dxa"/>
        <w:tblCellMar>
          <w:top w:w="0" w:type="dxa"/>
          <w:left w:w="0" w:type="dxa"/>
          <w:bottom w:w="0" w:type="dxa"/>
          <w:right w:w="0" w:type="dxa"/>
        </w:tblCellMar>
      </w:tblPr>
      <w:tr>
        <w:trPr>
          <w:trHeight w:val="187"/>
        </w:trPr>
        <w:tc>
          <w:tcPr>
            <w:tcW w:w="2880" w:type="dxa"/>
            <w:vAlign w:val="bottom"/>
            <w:tcBorders>
              <w:top w:val="single" w:sz="8" w:color="auto"/>
            </w:tcBorders>
          </w:tcPr>
          <w:p>
            <w:pPr>
              <w:jc w:val="right"/>
              <w:ind w:right="11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2860" w:type="dxa"/>
            <w:vAlign w:val="bottom"/>
            <w:tcBorders>
              <w:top w:val="single" w:sz="8" w:color="auto"/>
            </w:tcBorders>
          </w:tcPr>
          <w:p>
            <w:pPr>
              <w:jc w:val="center"/>
              <w:ind w:left="90"/>
              <w:spacing w:after="0" w:line="188" w:lineRule="exact"/>
              <w:rPr>
                <w:sz w:val="20"/>
                <w:szCs w:val="20"/>
                <w:color w:val="auto"/>
              </w:rPr>
            </w:pPr>
            <w:r>
              <w:rPr>
                <w:rFonts w:ascii="Times New Roman" w:cs="Times New Roman" w:eastAsia="Times New Roman" w:hAnsi="Times New Roman"/>
                <w:sz w:val="18"/>
                <w:szCs w:val="18"/>
                <w:b w:val="1"/>
                <w:bCs w:val="1"/>
                <w:color w:val="auto"/>
              </w:rPr>
              <w:t>2021 (Restated)</w:t>
            </w:r>
          </w:p>
        </w:tc>
      </w:tr>
      <w:tr>
        <w:trPr>
          <w:trHeight w:val="23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operating activities</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investing activities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Net cash (used in) provided by financing activities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(Decrease) increase in cash</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7"/>
              </w:rPr>
              <w:t>(15,529)</w:t>
            </w:r>
          </w:p>
        </w:tc>
        <w:tc>
          <w:tcPr>
            <w:tcW w:w="1100" w:type="dxa"/>
            <w:vAlign w:val="bottom"/>
            <w:tcBorders>
              <w:top w:val="single" w:sz="8" w:color="auto"/>
            </w:tcBorders>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(10,060)</w:t>
            </w:r>
          </w:p>
        </w:tc>
      </w:tr>
      <w:tr>
        <w:trPr>
          <w:trHeight w:val="216"/>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34"/>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27,377</w:t>
            </w:r>
          </w:p>
        </w:tc>
      </w:tr>
      <w:tr>
        <w:trPr>
          <w:trHeight w:val="209"/>
        </w:trPr>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(15,817)</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15,127</w:t>
            </w:r>
          </w:p>
        </w:tc>
      </w:tr>
      <w:tr>
        <w:trPr>
          <w:trHeight w:val="20"/>
        </w:trPr>
        <w:tc>
          <w:tcPr>
            <w:tcW w:w="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-24765</wp:posOffset>
            </wp:positionV>
            <wp:extent cx="18002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-7620</wp:posOffset>
            </wp:positionV>
            <wp:extent cx="1800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-170815</wp:posOffset>
            </wp:positionV>
            <wp:extent cx="1800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720"/>
            <w:col w:w="3560"/>
          </w:cols>
          <w:pgMar w:left="980" w:top="513" w:right="10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$15.5 million, attributable to a net loss of $21.1 million and an increase in net operating assets and liabilities of $5.3 million, partially offset by non-cash adjustments of $12.2 million. Non-cash adjustments primarily consisted of $6.9 million of expenses settled with share-based payments and $5.2 million related to the increase in the fair value of the Private Warrants, mainly as a result of the increase in our share price during the first three months of 2022. The increase in our net operating assets and liabilities was primarily due to a $5.9 million decrease in accounts payable and accrued liabilities in the 2022 period due to the timing of supplier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$0.2 million for the purchase of equipment, as compared to $2.2 million in the first three months of 2021, which related to the initial payments made to DSMF in connection with our acquisition of TOML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$0.1 million, compared to $27.4 million provided by financing activities in the first three months of 2021, which consisted of $26.0 million from the issuance of convertible debentures in February 2021 and $1.4 million from the exercise of incentive stock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2020</w:t>
      </w:r>
    </w:p>
    <w:p>
      <w:pPr>
        <w:spacing w:after="0" w:line="22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months and years ended December 31, 2021 and December 31,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0"/>
                <w:szCs w:val="20"/>
                <w:color w:val="auto"/>
              </w:rPr>
            </w:pPr>
          </w:p>
        </w:tc>
        <w:tc>
          <w:tcPr>
            <w:tcW w:w="22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8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(3,842)</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2021 compared to Full Year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$56.1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$141.3 million, a net change in net operating assets and liabilities of $18.7 million and non-cash adjustments of $66.5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$12.8 million for the value of shares issued to Maersk and $60.3 million of share-</w:t>
      </w:r>
    </w:p>
    <w:p>
      <w:pPr>
        <w:spacing w:after="0" w:line="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based payments related to the value of the incentive stock options and RSUs recognized during the year ended December 31, 2021. The change in our net operating assets and liabilities was primarily due to a $22.0 million increase in accounts payable and accrued liabilities due to the timing of payments.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2020 was $26.5 million, attributable to a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 million and a net change in net operating assets and liabilities of $2.4 million and non-cash adjustments of $27.7 million.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adjustments primarily consisted of $10.0 million expensed for the value of shares issued to Allseas and Maersk as described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million for the value of shares issued to Maersk at the end of 2020, $4.1 million of share-based payments related to the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options recognized during the year ended December 31, 2020, and $0.6 million for amortization of equipment.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our net operating assets and liabilities was primarily due to a $2.5 million increase in accounts payable and accrued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timing of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$3.8 million and related to the payments made to DSMF for the deferred consideration that became due during the period. As at December 31, 2021 there was no amount outstanding for the deferred consideration pertaining to TOML Acquisition. We also spent $0.4 million for the purchase of equipment.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2020 was $0.6 million and related to the initial payments made to DSMF in connection with the TOML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$134.7 million related to proceeds of $104.5 million from the Business Combination, proceeds of $26.0 million from the issuance of convertible debentures and $4.2 million from the exercise of incentive stock options.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2020 was $21.3 million related to proceeds from private placements of $20.3 million and $0.9 million from the exercise of incentive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included a summary of work completed over the previous five-year period (2017 to 2021) and a work plan and estimated budget for the next five-year period (2022 to 2026). NORI had committed to spend approximately $5 million to deliver on its intended work plan from 2017 to 2021, which it has significantly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 The ISA is currently reviewing the periodic report, which includes the next 5-year program of work, at which point the next five-year commitment will be finalized.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commercial nodule collection system The pilot nodule collection system developed and currently being tested by Allseas and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made the second $10 million payment to Allseas under the PMTA on April 25, 2022, following the successful completion of the North Sea drive test. The third and final $10 million payment to Allseas will be due upon successful completion of the pilot trial of the PMTS in NORI Area 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 Agreements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provided vessel services and project management services, which enabled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March 3, 2021, the agreement with Maersk was amended whereby all costs incurred on or after February 5, 2021, pertaining to the use of the marine vessel, would be paid in cash rather than through issuance of common shares. Under this amendment, Maersk also agreed that amounts owed to Maersk for services rendered through February 5, 2021 in the aggregate amount of $4.6 million had been satisfied by the issuance of 4.2 million common shares at a contractual price per share of $1.08.</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agreement with Maersk ended pursuant to its terms in January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Services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currently working with a third party to provide a survey vessel previously provided by Maersk and specialized remotely operated vehicles, and autonomous underwater vehicles services required to support the implementation of the collector test monitoring survey planned for 2022 in the NORI Area D. Our work with this third party is ongoing and we are in discussions with this party to finalize our agreement with them for their continued services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prospectus. We have the critical accounting policies and estimates which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Acquisition</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On March 31, 2020, we completed the TOML Acquisition and applied guidance from ASC 805 to understand the accounting treatment regarding this acquisition and make necessary judgments.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Common Share-Based Payments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76" w:lineRule="exact"/>
        <w:rPr>
          <w:sz w:val="20"/>
          <w:szCs w:val="20"/>
          <w:color w:val="auto"/>
        </w:rPr>
      </w:pPr>
    </w:p>
    <w:p>
      <w:pPr>
        <w:ind w:left="6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6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We used the term of the award when calculating the expected term due to insufficient historical exercise data.</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As our common shares were not actively traded, the volatility is based on a benchmark of comparable companies within the mining industry.</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dividend rate used is zero as we have never paid any cash dividends on our Common Shares and do not anticipate doing so in the foreseeable future.</w:t>
      </w:r>
    </w:p>
    <w:p>
      <w:pPr>
        <w:spacing w:after="0" w:line="161"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our loss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 liability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re-measure the fair value of the Private Warrants at the end of each reporting period. The fair value of the Private Warrants is estimated using a Black-Scholes option pricing model whereby the expected volatility is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See Note 3 to the condensed consolidated interim financial statements for the period ending March 31, 2022 included in this 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we expect to remain an emerging growth company through at least the end of the 2022 fiscal year and we expect to continue to take advantage of the benefits of the extended transition period at least to the end of the 2022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December 31, 2021.</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capital stock of TMC the metals company Inc. (formerly Sustainable Opportunities Acquisition Corp.) is not intended to be a complete summary of the special rights and restrictions of such securities, and is qualified by reference to the Notice and Articles and the provisions of applicable law, including British Columbia law, the BCBCA and the warrant-related documents described herein, each of which are incorporated by reference as an exhibit to the registration statement of which this prospectus is a part. We urge you to read each of the Notice and Articles and the warrant-related documents described herein in their entirety for a complete description of the special rights and restrictions of our securities. Unless the context requires otherwise, all references to “we”, “us,” “our,” the “Company” and “TMC” in this section refer solely to TMC the metals company Inc. (formerly Sustainable Opportunities Acquisition Corp.) and not to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authorized to issue (a) an unlimited number of Common Shares, without par value (“Common Shares”), (b) an unlimited number of preferred shares, issuable in series, (c) 5,000,000 Class A Special Shares (“Class A Special Shares”), (d) 10,000,000 Class B Special Shares (“Class B Special Shares”), (e) 10,000,000 Class C Special Shares (“Class C Special Shares”), (f) 20,000,000 Class D Special Shares (“Class D Special Shares”) (g) 20,000,000 Class E Special Shares (“Class E Special Shares”), (h) 20,000,000 Class F Special Shares (“Class F Special Shares”), (i) 25,000,000 Class G Special Shares (“Class G Special Shares”), (j) 25,000,000 Class H Special Shares (“Class H Special Shares”), (k) 500,000 Class I Special Shares (“Class I Special Shares”) and (l) 741,000 Class J Special Shares (“Class J Special Shares”), each without par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the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year anniversary of the original issue date of the Special Shares or (ii) at any time after a Change of Control, in each case at the Redemption Price. For the purposes of the Notice and Articles, “Change of Control” means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(the “Conversion Rate”) (unless adjusted as described below) upon the occurrence of the following events:</w:t>
      </w:r>
    </w:p>
    <w:p>
      <w:pPr>
        <w:spacing w:after="0" w:line="162" w:lineRule="exact"/>
        <w:rPr>
          <w:sz w:val="20"/>
          <w:szCs w:val="20"/>
          <w:color w:val="auto"/>
        </w:rPr>
      </w:pPr>
    </w:p>
    <w:p>
      <w:pPr>
        <w:ind w:left="980" w:right="220" w:hanging="648"/>
        <w:spacing w:after="0" w:line="270"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US $15.00, or (b) there occurs any transaction resulting in a Change of Control with a valuation of the Common Shares that is greater than or equal to US $15.00 per Common Share;</w:t>
      </w:r>
    </w:p>
    <w:p>
      <w:pPr>
        <w:spacing w:after="0" w:line="2" w:lineRule="exact"/>
        <w:rPr>
          <w:rFonts w:ascii="Times New Roman" w:cs="Times New Roman" w:eastAsia="Times New Roman" w:hAnsi="Times New Roman"/>
          <w:sz w:val="17"/>
          <w:szCs w:val="17"/>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US $25.00, or (b) there occurs any transaction resulting in a Change of Control with a valuation of the Common Shares that is greater than or equal to US $25.00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US $35.00, or (b) there occurs any transaction resulting in a Change of Control with a valuation of the Common Shares that is greater than or equal to US $35.00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w:t>
      </w:r>
    </w:p>
    <w:p>
      <w:pPr>
        <w:spacing w:after="0" w:line="1" w:lineRule="exact"/>
        <w:rPr>
          <w:rFonts w:ascii="Times New Roman" w:cs="Times New Roman" w:eastAsia="Times New Roman" w:hAnsi="Times New Roman"/>
          <w:sz w:val="21"/>
          <w:szCs w:val="21"/>
          <w:color w:val="auto"/>
        </w:rPr>
      </w:pPr>
    </w:p>
    <w:p>
      <w:pPr>
        <w:ind w:left="980" w:right="240" w:hanging="648"/>
        <w:spacing w:after="0" w:line="273"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US $75.00, or (b) there occurs any transaction resulting in a Change of Control with a valuation of the Common Shares that is greater than or equal to US $75.00 per Common Share;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right="240" w:hanging="648"/>
        <w:spacing w:after="0" w:line="255"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US $100.00, or (b) there occurs any transaction resulting in a Change of Control with a valuation of the Common Shares that is greater than or equal to US $100.00 per Common Share;</w:t>
      </w:r>
    </w:p>
    <w:p>
      <w:pPr>
        <w:spacing w:after="0" w:line="2"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US $150.00, or (b) there occurs any transaction resulting in a Change of Control with a valuation of the Common Shares that is greater than or equal to US $150.00 per Common Share;</w:t>
      </w:r>
    </w:p>
    <w:p>
      <w:pPr>
        <w:spacing w:after="0" w:line="1" w:lineRule="exact"/>
        <w:rPr>
          <w:rFonts w:ascii="Times New Roman" w:cs="Times New Roman" w:eastAsia="Times New Roman" w:hAnsi="Times New Roman"/>
          <w:sz w:val="21"/>
          <w:szCs w:val="21"/>
          <w:color w:val="auto"/>
        </w:rPr>
      </w:pPr>
    </w:p>
    <w:p>
      <w:pPr>
        <w:ind w:left="980" w:right="220" w:hanging="648"/>
        <w:spacing w:after="0" w:line="250" w:lineRule="auto"/>
        <w:tabs>
          <w:tab w:leader="none" w:pos="9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US $200.00, or (b) there occurs any transaction resulting in a Change of Control with a valuation of the Common Shares that is greater than or equal to US $200.00 per Common Share;</w:t>
      </w:r>
    </w:p>
    <w:p>
      <w:pPr>
        <w:spacing w:after="0" w:line="1" w:lineRule="exact"/>
        <w:rPr>
          <w:rFonts w:ascii="Times New Roman" w:cs="Times New Roman" w:eastAsia="Times New Roman" w:hAnsi="Times New Roman"/>
          <w:sz w:val="21"/>
          <w:szCs w:val="21"/>
          <w:color w:val="auto"/>
        </w:rPr>
      </w:pPr>
    </w:p>
    <w:p>
      <w:pPr>
        <w:ind w:left="980" w:right="20" w:hanging="648"/>
        <w:spacing w:after="0" w:line="237" w:lineRule="auto"/>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US $50.00, or (b) there occurs any transaction resulting in a Change of Control with a valuation of the Common Shares that is greater than or equal to US $50.00 per Common Share; and</w:t>
      </w:r>
    </w:p>
    <w:p>
      <w:pPr>
        <w:ind w:left="980" w:hanging="648"/>
        <w:spacing w:after="0" w:line="237" w:lineRule="auto"/>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US $12.00, or (b) there occurs any transaction resulting in a Change of Control with a valuation of the Common Shares that is greater than or equal to US $12.00 per Common Share.</w:t>
      </w:r>
    </w:p>
    <w:p>
      <w:pPr>
        <w:spacing w:after="0" w:line="9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Rather, the holders of Special Shares shall be entitled to the number of Common Shares determined by rounding the entitlement down to the nearest whole number.</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of June 29, 2022, there were an aggregate of 15,000,000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June 29, 2022, there were 9,500,000 Private Placement Warrants outstanding. The private placement warrants (including the Common Shares issuable upon exercise of the private placement warrants) were not transferable, assignable or saleable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Warrant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March 4, 2021, DeepGreen issued the Allseas Warrant to Allseas, which shall vest upon successful completion of the PMTS and become exercisable for a maximum of 11,578,620 DeepGreen Common Shares (as it may be adjusted based on the formula described therein) at a purchase price of $0.01 per share, and which is a warrant to purchase our Common Shares in accordance with the terms of the Allseas Warrant. The Allseas Warrant was issued to Allseas in lieu of any future obligation to issue the Success Fee Shares. The Allseas Warrant shall vest only upon (and not before) the successful completion of the PMTS. The Allseas Warrant shall expire on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which provide these investors with certain registration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 (A) 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which ended on March 8, 2022, or eighteen months, as applicable, subject to the exceptions described in the Amended and Restated Registration Rights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and Articles and the BCBCA</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Notice and Articles do not contain stated objects or purposes and do not place any limitations on the business that we may carry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Power to vote on matters in which a director is materially interested. </w:t>
      </w:r>
      <w:r>
        <w:rPr>
          <w:rFonts w:ascii="Times New Roman" w:cs="Times New Roman" w:eastAsia="Times New Roman" w:hAnsi="Times New Roman"/>
          <w:sz w:val="18"/>
          <w:szCs w:val="18"/>
          <w:color w:val="auto"/>
        </w:rPr>
        <w:t>Under the BCBCA, a director or senior officer of a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92" w:lineRule="exact"/>
        <w:rPr>
          <w:sz w:val="20"/>
          <w:szCs w:val="20"/>
          <w:color w:val="auto"/>
        </w:rPr>
      </w:pPr>
    </w:p>
    <w:p>
      <w:pPr>
        <w:jc w:val="both"/>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Directors’ power to determine the remuneration of directors. </w:t>
      </w:r>
      <w:r>
        <w:rPr>
          <w:rFonts w:ascii="Times New Roman" w:cs="Times New Roman" w:eastAsia="Times New Roman" w:hAnsi="Times New Roman"/>
          <w:sz w:val="18"/>
          <w:szCs w:val="18"/>
          <w:color w:val="auto"/>
        </w:rPr>
        <w:t>The remuneration of our directors, if any, may be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subject to our Articles. The remuneration may be in addition to any salary or other remuneration paid to any of our employees (including executive officers) who are also directors.</w:t>
      </w:r>
    </w:p>
    <w:p>
      <w:pPr>
        <w:spacing w:after="0" w:line="173"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shares required to be owned by a director. </w:t>
      </w:r>
      <w:r>
        <w:rPr>
          <w:rFonts w:ascii="Times New Roman" w:cs="Times New Roman" w:eastAsia="Times New Roman" w:hAnsi="Times New Roman"/>
          <w:sz w:val="18"/>
          <w:szCs w:val="18"/>
          <w:color w:val="auto"/>
        </w:rPr>
        <w:t>Our Articles do not and the BCBCA does not provide that a director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hold any of Common Shares as a qualification for holding his or her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shareholders by means of telephone, electronic or other communications facilities that permit all participants to communicate with each other during the meeting.</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7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 See “</w:t>
      </w:r>
      <w:r>
        <w:rPr>
          <w:rFonts w:ascii="Times New Roman" w:cs="Times New Roman" w:eastAsia="Times New Roman" w:hAnsi="Times New Roman"/>
          <w:sz w:val="18"/>
          <w:szCs w:val="18"/>
          <w:i w:val="1"/>
          <w:iCs w:val="1"/>
          <w:color w:val="auto"/>
        </w:rPr>
        <w:t>Risk Factors – Our Notice of Articles and Articles will provide that any derivative actions, actions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expesnes is prohibited by the BCBCA.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Limitations on the ability to acquire and hold Common Shares may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requires each “non Canadian” (as defined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Subject to certain exemptions, a transaction that is reviewable under the</w:t>
      </w:r>
      <w:r>
        <w:rPr>
          <w:rFonts w:ascii="Times New Roman" w:cs="Times New Roman" w:eastAsia="Times New Roman" w:hAnsi="Times New Roman"/>
          <w:sz w:val="18"/>
          <w:szCs w:val="18"/>
          <w:i w:val="1"/>
          <w:iCs w:val="1"/>
          <w:color w:val="auto"/>
        </w:rPr>
        <w:t xml:space="preserve"> Investment Canada Act </w:t>
      </w:r>
      <w:r>
        <w:rPr>
          <w:rFonts w:ascii="Times New Roman" w:cs="Times New Roman" w:eastAsia="Times New Roman" w:hAnsi="Times New Roman"/>
          <w:sz w:val="18"/>
          <w:szCs w:val="18"/>
          <w:color w:val="auto"/>
        </w:rPr>
        <w:t>may not be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an investment in Common Shares by a non-Canadian who is an investor originating from a country with which Canada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free trade agreement, including a United States investor, and is not a state-owned enterprise, would be reviewable only if it were an investment to acquire control of us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our enterprise value (as determined pursuant to the </w:t>
      </w:r>
      <w:r>
        <w:rPr>
          <w:rFonts w:ascii="Times New Roman" w:cs="Times New Roman" w:eastAsia="Times New Roman" w:hAnsi="Times New Roman"/>
          <w:sz w:val="18"/>
          <w:szCs w:val="18"/>
          <w:i w:val="1"/>
          <w:iCs w:val="1"/>
          <w:color w:val="auto"/>
        </w:rPr>
        <w:t xml:space="preserve">Investment Canada Act </w:t>
      </w:r>
      <w:r>
        <w:rPr>
          <w:rFonts w:ascii="Times New Roman" w:cs="Times New Roman" w:eastAsia="Times New Roman" w:hAnsi="Times New Roman"/>
          <w:sz w:val="18"/>
          <w:szCs w:val="18"/>
          <w:color w:val="auto"/>
        </w:rPr>
        <w:t>and its regulations) was equal to or greater than the amount specified, which is currently CAD$1.711 billion.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other investors who are not state-owned enterprises the threshold is currently CAD$1.141 billion for 2022.</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8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Under the national-security-review regime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3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Certain transactions relating to Common Shares will generally be exempt from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subject to the federal government’s prerogative to conduct a national-security review, including:</w:t>
      </w:r>
    </w:p>
    <w:p>
      <w:pPr>
        <w:spacing w:after="0" w:line="160"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Common Shares by a person in the ordinary course of that person’s business as a trader or dealer in securities;</w:t>
      </w:r>
    </w:p>
    <w:p>
      <w:pPr>
        <w:spacing w:after="0" w:line="236" w:lineRule="exact"/>
        <w:rPr>
          <w:rFonts w:ascii="Times New Roman" w:cs="Times New Roman" w:eastAsia="Times New Roman" w:hAnsi="Times New Roman"/>
          <w:sz w:val="17"/>
          <w:szCs w:val="17"/>
          <w:color w:val="auto"/>
        </w:rPr>
      </w:pPr>
    </w:p>
    <w:p>
      <w:pPr>
        <w:ind w:left="680" w:right="8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80" w:right="400" w:hanging="321"/>
        <w:spacing w:after="0" w:line="312" w:lineRule="auto"/>
        <w:tabs>
          <w:tab w:leader="none" w:pos="6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to purchase Common Shares are listed for trading on The Nasdaq Stock Market under the symbol “TMC” and “TMCWW”,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COMMON SHARES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Common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Common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Common Shares then outstanding; or</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Common Shares during the four calendar weeks preceding the filing of a notice on Form 144 with respect to the sale.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our current 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7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we are no longer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Common Shares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by:</w:t>
      </w:r>
    </w:p>
    <w:p>
      <w:pPr>
        <w:spacing w:after="0" w:line="207" w:lineRule="exact"/>
        <w:rPr>
          <w:sz w:val="20"/>
          <w:szCs w:val="20"/>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to be the beneficial owner of more than 5% of outstanding Common Shares;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0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Common Shares is based on 226,828,919 Common Shares issued and outstanding as of February 28, 2022.</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8"/>
          <w:szCs w:val="18"/>
          <w:color w:val="auto"/>
        </w:rPr>
        <w:t xml:space="preserve"> Floor, Vancouver, British Columbia, Canada V6C 2T5.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08"/>
        </w:trPr>
        <w:tc>
          <w:tcPr>
            <w:tcW w:w="24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4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26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8"/>
                <w:szCs w:val="18"/>
                <w:b w:val="1"/>
                <w:bCs w:val="1"/>
                <w:color w:val="auto"/>
                <w:w w:val="94"/>
              </w:rPr>
              <w:t>Shares</w:t>
            </w:r>
            <w:r>
              <w:rPr>
                <w:rFonts w:ascii="Times New Roman" w:cs="Times New Roman" w:eastAsia="Times New Roman" w:hAnsi="Times New Roman"/>
                <w:sz w:val="26"/>
                <w:szCs w:val="26"/>
                <w:b w:val="1"/>
                <w:bCs w:val="1"/>
                <w:color w:val="auto"/>
                <w:w w:val="94"/>
                <w:vertAlign w:val="superscript"/>
              </w:rPr>
              <w:t>(1)</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Owned (%)</w:t>
            </w:r>
          </w:p>
        </w:tc>
      </w:tr>
      <w:tr>
        <w:trPr>
          <w:trHeight w:val="209"/>
        </w:trPr>
        <w:tc>
          <w:tcPr>
            <w:tcW w:w="7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Gerard Barron</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18,654,997</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Anthony O’Sullivan</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Erika Ilves</w:t>
            </w:r>
            <w:r>
              <w:rPr>
                <w:rFonts w:ascii="Times New Roman" w:cs="Times New Roman" w:eastAsia="Times New Roman" w:hAnsi="Times New Roman"/>
                <w:sz w:val="25"/>
                <w:szCs w:val="25"/>
                <w:color w:val="auto"/>
                <w:vertAlign w:val="superscript"/>
              </w:rPr>
              <w:t>(4)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1,694,157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Craig Shesky</w:t>
            </w:r>
            <w:r>
              <w:rPr>
                <w:rFonts w:ascii="Times New Roman" w:cs="Times New Roman" w:eastAsia="Times New Roman" w:hAnsi="Times New Roman"/>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564,025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Gregory Stone</w:t>
            </w:r>
            <w:r>
              <w:rPr>
                <w:rFonts w:ascii="Times New Roman" w:cs="Times New Roman" w:eastAsia="Times New Roman" w:hAnsi="Times New Roman"/>
                <w:sz w:val="25"/>
                <w:szCs w:val="25"/>
                <w:color w:val="auto"/>
                <w:vertAlign w:val="superscript"/>
              </w:rPr>
              <w:t>(6)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Christelle Gedeon</w:t>
            </w:r>
            <w:r>
              <w:rPr>
                <w:rFonts w:ascii="Times New Roman" w:cs="Times New Roman" w:eastAsia="Times New Roman" w:hAnsi="Times New Roman"/>
                <w:sz w:val="25"/>
                <w:szCs w:val="25"/>
                <w:color w:val="auto"/>
                <w:vertAlign w:val="superscript"/>
              </w:rPr>
              <w:t>(7)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Gina Stryker</w:t>
            </w:r>
            <w:r>
              <w:rPr>
                <w:rFonts w:ascii="Times New Roman" w:cs="Times New Roman" w:eastAsia="Times New Roman" w:hAnsi="Times New Roman"/>
                <w:sz w:val="25"/>
                <w:szCs w:val="25"/>
                <w:color w:val="auto"/>
                <w:vertAlign w:val="superscript"/>
              </w:rPr>
              <w:t>(8)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1,061,206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Christian Madsbjerg</w:t>
            </w:r>
            <w:r>
              <w:rPr>
                <w:rFonts w:ascii="Times New Roman" w:cs="Times New Roman" w:eastAsia="Times New Roman" w:hAnsi="Times New Roman"/>
                <w:sz w:val="25"/>
                <w:szCs w:val="25"/>
                <w:color w:val="auto"/>
                <w:vertAlign w:val="superscript"/>
              </w:rPr>
              <w:t>(9)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590,509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Andrei Karkar</w:t>
            </w:r>
            <w:r>
              <w:rPr>
                <w:rFonts w:ascii="Times New Roman" w:cs="Times New Roman" w:eastAsia="Times New Roman" w:hAnsi="Times New Roman"/>
                <w:sz w:val="25"/>
                <w:szCs w:val="25"/>
                <w:color w:val="auto"/>
                <w:vertAlign w:val="superscript"/>
              </w:rPr>
              <w:t>(10)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45,678,305</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20.0 %</w:t>
            </w: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All Directors and Executive Officers of the Company as a Group (13 Individuals)</w:t>
            </w:r>
            <w:r>
              <w:rPr>
                <w:rFonts w:ascii="Times New Roman" w:cs="Times New Roman" w:eastAsia="Times New Roman" w:hAnsi="Times New Roman"/>
                <w:sz w:val="25"/>
                <w:szCs w:val="25"/>
                <w:b w:val="1"/>
                <w:bCs w:val="1"/>
                <w:color w:val="auto"/>
                <w:vertAlign w:val="superscript"/>
              </w:rPr>
              <w:t>(11)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71,060,763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30.2 %</w:t>
            </w:r>
          </w:p>
        </w:tc>
      </w:tr>
      <w:tr>
        <w:trPr>
          <w:trHeight w:val="216"/>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ERAS Capital</w:t>
            </w:r>
            <w:r>
              <w:rPr>
                <w:rFonts w:ascii="Times New Roman" w:cs="Times New Roman" w:eastAsia="Times New Roman" w:hAnsi="Times New Roman"/>
                <w:sz w:val="25"/>
                <w:szCs w:val="25"/>
                <w:color w:val="auto"/>
                <w:vertAlign w:val="superscript"/>
              </w:rPr>
              <w:t>(12)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45,035,692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74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Maersk Supply Service A/S</w:t>
            </w:r>
            <w:r>
              <w:rPr>
                <w:rFonts w:ascii="Times New Roman" w:cs="Times New Roman" w:eastAsia="Times New Roman" w:hAnsi="Times New Roman"/>
                <w:sz w:val="25"/>
                <w:szCs w:val="25"/>
                <w:color w:val="auto"/>
                <w:vertAlign w:val="superscript"/>
              </w:rPr>
              <w:t>(13)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20,820,816</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74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Allseas Group S.A.</w:t>
            </w:r>
            <w:r>
              <w:rPr>
                <w:rFonts w:ascii="Times New Roman" w:cs="Times New Roman" w:eastAsia="Times New Roman" w:hAnsi="Times New Roman"/>
                <w:sz w:val="25"/>
                <w:szCs w:val="25"/>
                <w:color w:val="auto"/>
                <w:vertAlign w:val="superscript"/>
              </w:rPr>
              <w:t>(14)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r>
      <w:tr>
        <w:trPr>
          <w:trHeight w:val="108"/>
        </w:trPr>
        <w:tc>
          <w:tcPr>
            <w:tcW w:w="248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148" w:lineRule="exact"/>
        <w:rPr>
          <w:sz w:val="20"/>
          <w:szCs w:val="20"/>
          <w:color w:val="auto"/>
        </w:rPr>
      </w:pPr>
    </w:p>
    <w:p>
      <w:pPr>
        <w:ind w:left="420" w:hanging="412"/>
        <w:spacing w:after="0"/>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w:t>
      </w:r>
    </w:p>
    <w:p>
      <w:pPr>
        <w:spacing w:after="0" w:line="26" w:lineRule="exact"/>
        <w:rPr>
          <w:sz w:val="20"/>
          <w:szCs w:val="20"/>
          <w:color w:val="auto"/>
        </w:rPr>
      </w:pPr>
    </w:p>
    <w:p>
      <w:pPr>
        <w:ind w:left="440" w:hanging="432"/>
        <w:spacing w:after="0"/>
        <w:tabs>
          <w:tab w:leader="none" w:pos="4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Special Shares.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40" w:hanging="432"/>
        <w:spacing w:after="0" w:line="266" w:lineRule="auto"/>
        <w:tabs>
          <w:tab w:leader="none" w:pos="44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14,487,559 Common Shares, (ii) 4,078,044 Common Shares underlying options that are exercisable within 60 days of February 28, 2022, and (iii) 89,394 Common Shares underlying warrants held by Mr. Barron. Does not include 2,275,334 Common Shares underlying options that are not exercisable and 781,250 Common Shares underlying restricted share units that do not vest within 60 days of February 28, 2022 held by Mr. Barron.</w:t>
      </w:r>
    </w:p>
    <w:p>
      <w:pPr>
        <w:spacing w:after="0" w:line="2"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575,110 Common Shares held by The O’Sullivan Family Trust No. 1 and 101,372 Common Shares held by Mr. O’Sullivan,</w:t>
      </w:r>
    </w:p>
    <w:p>
      <w:pPr>
        <w:spacing w:after="0" w:line="18" w:lineRule="exact"/>
        <w:rPr>
          <w:rFonts w:ascii="Times New Roman" w:cs="Times New Roman" w:eastAsia="Times New Roman" w:hAnsi="Times New Roman"/>
          <w:sz w:val="16"/>
          <w:szCs w:val="16"/>
          <w:color w:val="auto"/>
        </w:rPr>
      </w:pPr>
    </w:p>
    <w:p>
      <w:pPr>
        <w:ind w:left="440" w:right="40"/>
        <w:spacing w:after="0" w:line="264" w:lineRule="auto"/>
        <w:tabs>
          <w:tab w:leader="none" w:pos="678"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685,672 Common Shares underlying options that are exercisable within 60 days of February 28, 2022 held by Mr. O’Sullivan. Does not include 1,011,259 Common Shares underlying options that are not exercisable and 312,500 Common Shares underlying restricted share units that do not vest within 60 days of February 28, 2022 held by O’Sullivan. Anthony O’Sullivan is the sole director of JOZEM Pty Ltd. which is the trustee of The O’Sullivan Family Trust No. 1.</w:t>
      </w:r>
    </w:p>
    <w:p>
      <w:pPr>
        <w:ind w:left="440" w:right="4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301,398 Common Shares held by Ms. Ilves, (ii) 1,362,077 Common Shares underlying options that are exercisable within 60 days of February 28, 2022 held by Ms. Ilves, and (iii) 30,682 Common Shares held of record by Ms. Ilves’ children. Does not include 1,011,259 Common Shares underlying options that are not exercisable and 234,375 Common Shares underlying restricted share units that do not vest within 60 days of February 28, 2022 held by Ms. Ilves.</w:t>
      </w:r>
    </w:p>
    <w:p>
      <w:pPr>
        <w:ind w:left="440" w:right="10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428,941 Common Shares and (ii) 135,084 Common Shares underlying options that are exercisable within 60 days of February 28, 2022 held by Mr. Shesky. Does not include 522,981 Common Shares underlying options that are not exercisable and 234,375 Common Shares underlying restricted share units that do not vest within 60 days of February 28, 2022 held by Mr. Shesky.</w:t>
      </w:r>
    </w:p>
    <w:p>
      <w:pPr>
        <w:ind w:left="440" w:right="10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109,903 Common Shares and (ii) 1,323,613 Common Shares underlying options that are exercisable within 60 days of February 28, 2022 held by Mr. Stone. Does not include 505,630 Common Shares underlying options that are not exercisable and 156,250 Common Shares underlying restricted share units that do not vest within 60 days of February 28, 2022 held by Dr. Stone.</w:t>
      </w:r>
    </w:p>
    <w:p>
      <w:pPr>
        <w:ind w:left="440" w:right="14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21,894 Common Shares held by Ms. Gedeon. Does not include 265,625 Common Shares underlying restricted share units that do not vest within 60 days of February 28, 2022 held by Ms. Gedeon.</w:t>
      </w:r>
    </w:p>
    <w:p>
      <w:pPr>
        <w:ind w:left="440" w:right="8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151,585 Common Shares held by Ms. Stryker, (ii) 147,672 Common Shares held by the Gina Thomas Stryker 2008 Children’s Trust U/A DTD 12/09/2008 JRT, (iii) 147,672 Common Shares held by the Gina Thomas Stryker 2008 Children’s Trust U/A DTD 12/09/2008 MET, (iv) 209,221 Common Shares underlying warrants held by Ms. Stryker, (v) 202,528 Common Shares underlying warrants held by the Gina Thomas Stryker 2008 Children’s Trust U/A DTD 12/09/2008 JRT and (vi) 202,528 Common Shares underlying warrants held by the Gina Thomas Stryker 2008 Children’s Trust U/A DTD 12/09/2008 MET. Ms. Stryker is the trustee of each of these trusts.</w:t>
      </w:r>
    </w:p>
    <w:p>
      <w:pPr>
        <w:ind w:left="440" w:right="2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590,509 Common Shares underlying options that are exercisable within 60 days of February 2, 2022 held by Mr. Madsbjerg. Does not include 126,407 Common Shares underlying options that are not exercisable and 8,032 Common Shares underlying restricted share units that do not vest within 60 days of February 28, 2022 held by Mr. Madsbjerg.</w:t>
      </w:r>
    </w:p>
    <w:p>
      <w:pPr>
        <w:ind w:left="520" w:hanging="512"/>
        <w:spacing w:after="0"/>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642,613 Common Shares underlying options that are exercisable within 60 days of February 28, 2022 held by Mr. Karkar,</w:t>
      </w:r>
    </w:p>
    <w:p>
      <w:pPr>
        <w:spacing w:after="0" w:line="18" w:lineRule="exact"/>
        <w:rPr>
          <w:rFonts w:ascii="Times New Roman" w:cs="Times New Roman" w:eastAsia="Times New Roman" w:hAnsi="Times New Roman"/>
          <w:sz w:val="16"/>
          <w:szCs w:val="16"/>
          <w:color w:val="auto"/>
        </w:rPr>
      </w:pPr>
    </w:p>
    <w:p>
      <w:pPr>
        <w:ind w:left="440" w:right="100"/>
        <w:spacing w:after="0" w:line="264" w:lineRule="auto"/>
        <w:tabs>
          <w:tab w:leader="none" w:pos="678"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43,620,976 Common Shares held by ERAS Capital LLC (“ERAS”), and (iii) 1,414,716 Common Shares underlying warrants held by ERAS. Does not include 126,407 Common Shares underlying options that are not exercisable and 8,032 Common Shares underlying restricted share units that do not vest within 60 days of February 28, 2022 held by Mr. Karkar. Mr. Karkar has voting and dispositive control over the securities held by ERAS and therefore Mr. Karkar may be deemed to have beneficial ownership of the shares held by ERAS.</w:t>
      </w:r>
    </w:p>
    <w:p>
      <w:pPr>
        <w:ind w:left="440" w:hanging="432"/>
        <w:spacing w:after="0"/>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footnotes 2 through 10.</w:t>
      </w:r>
    </w:p>
    <w:p>
      <w:pPr>
        <w:spacing w:after="0" w:line="18" w:lineRule="exact"/>
        <w:rPr>
          <w:rFonts w:ascii="Times New Roman" w:cs="Times New Roman" w:eastAsia="Times New Roman" w:hAnsi="Times New Roman"/>
          <w:sz w:val="16"/>
          <w:szCs w:val="16"/>
          <w:color w:val="auto"/>
        </w:rPr>
      </w:pPr>
    </w:p>
    <w:p>
      <w:pPr>
        <w:ind w:left="440" w:right="2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ERAS is 323 Marina Boulevard, San Francisco, California 94123. Consists of (i) 43,620,976 Common Shares and (ii) 1,414,716 Common Shares issuable upon exercise of warrants owned by ERAS. Andrei Karkar has voting and dispositive control over the securities held by ERAS and therefore Mr. Karkar may be deemed to have beneficial ownership of the shares held by ERAS.</w:t>
      </w:r>
    </w:p>
    <w:p>
      <w:pPr>
        <w:ind w:left="440" w:right="180" w:hanging="432"/>
        <w:spacing w:after="0" w:line="264"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Maersk Supply Service A/S is Esplanaden 50 Copenhagen K, DK-1098 Denmark. Maersk Supply Service A/S is a subsidiary of AP Moller-Maersk A/S.</w:t>
      </w:r>
    </w:p>
    <w:p>
      <w:pPr>
        <w:ind w:left="440" w:right="320" w:hanging="432"/>
        <w:spacing w:after="0" w:line="276" w:lineRule="auto"/>
        <w:tabs>
          <w:tab w:leader="none" w:pos="4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Allseas Group S.A. is 18 Route de Pra de Plan, Case Postale, 411 1618 Chatel-Saint-Denis, Switzerland. Excludes 1,000,000 Common Shares held by Argentum Cedit Virtuti GCV, which has an ownership interest in Allseas Group S. A., to which Allseas Group, S.A. does not have voting or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Securityholders of up to 264,438,297 of our Common Shares and up to 9,500,000 Private Placement Warrants. The Selling Securityholders may from time to time offer and sell any or all of the Common Shares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Shares or Private Placement Warrants other than through a public sale. We cannot advise you as to whether the Selling Securityholders will in fact sell any or all of such Common Shares or warrants. In addition, the Selling Securityholders may sell, transfer or otherwise dispose of, at any time and from time to time, the Common Shares and warrants in transactions exempt from the prospectus or registration requirements of the Securities Act or applicable Canadian securities law after the date of this prospectus. For purposes of this table, we have assumed that the Selling Securityholders will have sold all of the securities covered by this prospectus upon the completion of the offering.</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It sets forth the name and address of each of the Selling Securityholders, the aggregate number of Common Shares and Private Placement Warrants that the Selling Securityholders may offer pursuant to this prospectus, and the beneficial ownership of the Selling Securityholders both before and after the offering. We have based the percentage ownership prior to this offering on 226,828,919 Common Shares and 9,500,000 Private Placement Warrants outstanding, in each case as of February 28, 2022. In calculating percentages of Common Shares owned by a particular Selling Securityholder, we treated as outstanding the number of Common Shares issuable upon exercise of that particular Selling Securityholder’s warrants or options, if any, and did not assume the exercise of any other Selling Securityholder’s warrants or options. The following tables do not reflect the beneficial ownership of any Common Shares issuable upon exercise of warrants, options or Special Shares unless such securities are exercisable or convertible within 60 days of February 28, 2022.</w:t>
      </w:r>
    </w:p>
    <w:p>
      <w:pPr>
        <w:spacing w:after="0" w:line="18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 Common Shares issuable upon conversion of the Special Shares are not beneficially owned by any of the Selling Securityholders and are excluded from the beneficial ownership columns in the table below since the conversions of such Special Shares are subject to the Common Share trading price thresholds described herein. We have included a separate column for the Common Shares issuable upon conversion of the Special Shares.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securities registered on its behalf. A Selling Securityholder may sell or otherwise transfer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Private Placement</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r>
      <w:tr>
        <w:trPr>
          <w:trHeight w:val="121"/>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Issuable</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Private Placement</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Private</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Upon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Warrants Beneficially</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Placement</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After the Offered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Owned After the</w:t>
            </w:r>
          </w:p>
        </w:tc>
      </w:tr>
      <w:tr>
        <w:trPr>
          <w:trHeight w:val="122"/>
        </w:trPr>
        <w:tc>
          <w:tcPr>
            <w:tcW w:w="2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 Owned</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Conversion</w:t>
            </w:r>
          </w:p>
        </w:tc>
        <w:tc>
          <w:tcPr>
            <w:tcW w:w="10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Owned prior to this</w:t>
            </w:r>
          </w:p>
        </w:tc>
        <w:tc>
          <w:tcPr>
            <w:tcW w:w="14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Warrants</w:t>
            </w:r>
          </w:p>
        </w:tc>
        <w:tc>
          <w:tcPr>
            <w:tcW w:w="10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Common 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Offered Warrants</w:t>
            </w:r>
          </w:p>
        </w:tc>
      </w:tr>
      <w:tr>
        <w:trPr>
          <w:trHeight w:val="137"/>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Prior to this Offering</w:t>
            </w:r>
          </w:p>
        </w:tc>
        <w:tc>
          <w:tcPr>
            <w:tcW w:w="16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of Special</w:t>
            </w: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40" w:type="dxa"/>
            <w:vAlign w:val="bottom"/>
          </w:tcPr>
          <w:p>
            <w:pPr>
              <w:spacing w:after="0"/>
              <w:rPr>
                <w:sz w:val="11"/>
                <w:szCs w:val="11"/>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Being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Being</w:t>
            </w: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are Sold</w:t>
            </w:r>
          </w:p>
        </w:tc>
      </w:tr>
      <w:tr>
        <w:trPr>
          <w:trHeight w:val="115"/>
        </w:trPr>
        <w:tc>
          <w:tcPr>
            <w:tcW w:w="3240" w:type="dxa"/>
            <w:vAlign w:val="bottom"/>
            <w:gridSpan w:val="3"/>
          </w:tcPr>
          <w:p>
            <w:pPr>
              <w:ind w:left="1000"/>
              <w:spacing w:after="0" w:line="115" w:lineRule="exact"/>
              <w:rPr>
                <w:sz w:val="20"/>
                <w:szCs w:val="20"/>
                <w:color w:val="auto"/>
              </w:rPr>
            </w:pPr>
            <w:r>
              <w:rPr>
                <w:rFonts w:ascii="Times New Roman" w:cs="Times New Roman" w:eastAsia="Times New Roman" w:hAnsi="Times New Roman"/>
                <w:sz w:val="9"/>
                <w:szCs w:val="9"/>
                <w:b w:val="1"/>
                <w:bCs w:val="1"/>
                <w:color w:val="auto"/>
              </w:rPr>
              <w:t>Selling Securityholders</w:t>
            </w:r>
            <w:r>
              <w:rPr>
                <w:rFonts w:ascii="Times New Roman" w:cs="Times New Roman" w:eastAsia="Times New Roman" w:hAnsi="Times New Roman"/>
                <w:sz w:val="13"/>
                <w:szCs w:val="13"/>
                <w:b w:val="1"/>
                <w:bCs w:val="1"/>
                <w:color w:val="auto"/>
                <w:vertAlign w:val="superscript"/>
              </w:rPr>
              <w:t>(1)</w:t>
            </w:r>
          </w:p>
        </w:tc>
        <w:tc>
          <w:tcPr>
            <w:tcW w:w="720" w:type="dxa"/>
            <w:vAlign w:val="bottom"/>
            <w:gridSpan w:val="2"/>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160" w:type="dxa"/>
            <w:vAlign w:val="bottom"/>
          </w:tcPr>
          <w:p>
            <w:pPr>
              <w:spacing w:after="0"/>
              <w:rPr>
                <w:sz w:val="10"/>
                <w:szCs w:val="10"/>
                <w:color w:val="auto"/>
              </w:rPr>
            </w:pPr>
          </w:p>
        </w:tc>
        <w:tc>
          <w:tcPr>
            <w:tcW w:w="7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140" w:type="dxa"/>
            <w:vAlign w:val="bottom"/>
          </w:tcPr>
          <w:p>
            <w:pPr>
              <w:spacing w:after="0"/>
              <w:rPr>
                <w:sz w:val="10"/>
                <w:szCs w:val="10"/>
                <w:color w:val="auto"/>
              </w:rPr>
            </w:pPr>
          </w:p>
        </w:tc>
        <w:tc>
          <w:tcPr>
            <w:tcW w:w="7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6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4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15"/>
        </w:trPr>
        <w:tc>
          <w:tcPr>
            <w:tcW w:w="31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9"/>
                <w:szCs w:val="9"/>
                <w:color w:val="auto"/>
              </w:rPr>
              <w:t>Gerard Barron</w:t>
            </w:r>
            <w:r>
              <w:rPr>
                <w:rFonts w:ascii="Times New Roman" w:cs="Times New Roman" w:eastAsia="Times New Roman" w:hAnsi="Times New Roman"/>
                <w:sz w:val="13"/>
                <w:szCs w:val="13"/>
                <w:color w:val="auto"/>
                <w:vertAlign w:val="superscript"/>
              </w:rPr>
              <w:t>(2)</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18,565,603</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8.0</w:t>
            </w:r>
          </w:p>
        </w:tc>
        <w:tc>
          <w:tcPr>
            <w:tcW w:w="160" w:type="dxa"/>
            <w:vAlign w:val="bottom"/>
            <w:tcBorders>
              <w:top w:val="single" w:sz="8" w:color="CCEEFF"/>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8,370,973</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22,717,557</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4,308,413</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1"/>
              </w:rPr>
              <w:t>%</w:t>
            </w:r>
          </w:p>
        </w:tc>
        <w:tc>
          <w:tcPr>
            <w:tcW w:w="520" w:type="dxa"/>
            <w:vAlign w:val="bottom"/>
            <w:tcBorders>
              <w:top w:val="single" w:sz="8" w:color="auto"/>
            </w:tcBorders>
            <w:shd w:val="clear" w:color="auto" w:fill="CCEEFF"/>
          </w:tcPr>
          <w:p>
            <w:pPr>
              <w:ind w:left="3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Andrei Karkar</w:t>
            </w:r>
            <w:r>
              <w:rPr>
                <w:rFonts w:ascii="Times New Roman" w:cs="Times New Roman" w:eastAsia="Times New Roman" w:hAnsi="Times New Roman"/>
                <w:sz w:val="14"/>
                <w:szCs w:val="14"/>
                <w:color w:val="auto"/>
                <w:vertAlign w:val="superscript"/>
              </w:rPr>
              <w:t>(3)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44,263,589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23,341,299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65,126,881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1,414,716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3,892,723</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gridSpan w:val="2"/>
          </w:tcPr>
          <w:p>
            <w:pPr>
              <w:jc w:val="right"/>
              <w:ind w:right="11"/>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Paul Matysek</w:t>
            </w:r>
            <w:r>
              <w:rPr>
                <w:rFonts w:ascii="Times New Roman" w:cs="Times New Roman" w:eastAsia="Times New Roman" w:hAnsi="Times New Roman"/>
                <w:sz w:val="14"/>
                <w:szCs w:val="14"/>
                <w:color w:val="auto"/>
                <w:vertAlign w:val="superscript"/>
              </w:rPr>
              <w:t>(4)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2,425,858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720,326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1,943,083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584,720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Brian Paes-Braga</w:t>
            </w:r>
            <w:r>
              <w:rPr>
                <w:rFonts w:ascii="Times New Roman" w:cs="Times New Roman" w:eastAsia="Times New Roman" w:hAnsi="Times New Roman"/>
                <w:sz w:val="14"/>
                <w:szCs w:val="14"/>
                <w:color w:val="auto"/>
                <w:vertAlign w:val="superscript"/>
              </w:rPr>
              <w:t>(5)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3,242,503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341,044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919,975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Dr. Gregory Stone</w:t>
            </w:r>
            <w:r>
              <w:rPr>
                <w:rFonts w:ascii="Times New Roman" w:cs="Times New Roman" w:eastAsia="Times New Roman" w:hAnsi="Times New Roman"/>
                <w:sz w:val="14"/>
                <w:szCs w:val="14"/>
                <w:color w:val="auto"/>
                <w:vertAlign w:val="superscript"/>
              </w:rPr>
              <w:t>(6)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1,433,516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19,482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52,558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1,400,440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Erika Ilves</w:t>
            </w:r>
            <w:r>
              <w:rPr>
                <w:rFonts w:ascii="Times New Roman" w:cs="Times New Roman" w:eastAsia="Times New Roman" w:hAnsi="Times New Roman"/>
                <w:sz w:val="14"/>
                <w:szCs w:val="14"/>
                <w:color w:val="auto"/>
                <w:vertAlign w:val="superscript"/>
              </w:rPr>
              <w:t>(7)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1,694,157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127,890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344,989</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1,446,376</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Craig Shesky</w:t>
            </w:r>
            <w:r>
              <w:rPr>
                <w:rFonts w:ascii="Times New Roman" w:cs="Times New Roman" w:eastAsia="Times New Roman" w:hAnsi="Times New Roman"/>
                <w:sz w:val="14"/>
                <w:szCs w:val="14"/>
                <w:color w:val="auto"/>
                <w:vertAlign w:val="superscript"/>
              </w:rPr>
              <w:t>(8)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564,025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181,887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490,649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225,263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Maersk Supply Service A/S</w:t>
            </w:r>
            <w:r>
              <w:rPr>
                <w:rFonts w:ascii="Times New Roman" w:cs="Times New Roman" w:eastAsia="Times New Roman" w:hAnsi="Times New Roman"/>
                <w:sz w:val="14"/>
                <w:szCs w:val="14"/>
                <w:color w:val="auto"/>
                <w:vertAlign w:val="superscript"/>
              </w:rPr>
              <w:t>(9)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20,820,816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12,265,560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33,086,376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JOZEM Pty Ltd as trustee of the O’Sullivan Family Trust No. 1</w:t>
            </w:r>
            <w:r>
              <w:rPr>
                <w:rFonts w:ascii="Times New Roman" w:cs="Times New Roman" w:eastAsia="Times New Roman" w:hAnsi="Times New Roman"/>
                <w:sz w:val="14"/>
                <w:szCs w:val="14"/>
                <w:color w:val="auto"/>
                <w:vertAlign w:val="superscript"/>
              </w:rPr>
              <w:t>(10)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575,110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338,796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913,906</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WTP Capital Corp.</w:t>
            </w:r>
            <w:r>
              <w:rPr>
                <w:rFonts w:ascii="Times New Roman" w:cs="Times New Roman" w:eastAsia="Times New Roman" w:hAnsi="Times New Roman"/>
                <w:sz w:val="14"/>
                <w:szCs w:val="14"/>
                <w:color w:val="auto"/>
                <w:vertAlign w:val="superscript"/>
              </w:rPr>
              <w:t>(11)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57,893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34,101</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91,994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Valola Holdings Corp.</w:t>
            </w:r>
            <w:r>
              <w:rPr>
                <w:rFonts w:ascii="Times New Roman" w:cs="Times New Roman" w:eastAsia="Times New Roman" w:hAnsi="Times New Roman"/>
                <w:sz w:val="14"/>
                <w:szCs w:val="14"/>
                <w:color w:val="auto"/>
                <w:vertAlign w:val="superscript"/>
              </w:rPr>
              <w:t>(12)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2,605,679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1,535,004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4,140,683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Tayla Saad</w:t>
            </w:r>
            <w:r>
              <w:rPr>
                <w:rFonts w:ascii="Times New Roman" w:cs="Times New Roman" w:eastAsia="Times New Roman" w:hAnsi="Times New Roman"/>
                <w:sz w:val="14"/>
                <w:szCs w:val="14"/>
                <w:color w:val="auto"/>
                <w:vertAlign w:val="superscript"/>
              </w:rPr>
              <w:t>(13)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1,736,793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1,023,143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2,759,936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Bedrock Capital Corp</w:t>
            </w:r>
            <w:r>
              <w:rPr>
                <w:rFonts w:ascii="Times New Roman" w:cs="Times New Roman" w:eastAsia="Times New Roman" w:hAnsi="Times New Roman"/>
                <w:sz w:val="14"/>
                <w:szCs w:val="14"/>
                <w:color w:val="auto"/>
                <w:vertAlign w:val="superscript"/>
              </w:rPr>
              <w:t>(14)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618,381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364,284</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982,665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Silver Creek CS SAV, L.L.C.</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24,536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Blackwell Partners LLC – Series A</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107,723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Limited Partnership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43,278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II Limited Partnership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123,119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Nantahala Capital Partners SI,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305,105</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NCP QR LP</w:t>
            </w:r>
            <w:r>
              <w:rPr>
                <w:rFonts w:ascii="Times New Roman" w:cs="Times New Roman" w:eastAsia="Times New Roman" w:hAnsi="Times New Roman"/>
                <w:sz w:val="14"/>
                <w:szCs w:val="14"/>
                <w:color w:val="auto"/>
                <w:vertAlign w:val="superscript"/>
              </w:rPr>
              <w:t>(15)</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51,203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NCP RFM LP</w:t>
            </w:r>
            <w:r>
              <w:rPr>
                <w:rFonts w:ascii="Times New Roman" w:cs="Times New Roman" w:eastAsia="Times New Roman" w:hAnsi="Times New Roman"/>
                <w:sz w:val="14"/>
                <w:szCs w:val="14"/>
                <w:color w:val="auto"/>
                <w:vertAlign w:val="superscript"/>
              </w:rPr>
              <w:t>(15)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45,036</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Walch</w:t>
            </w:r>
            <w:r>
              <w:rPr>
                <w:rFonts w:ascii="Times New Roman" w:cs="Times New Roman" w:eastAsia="Times New Roman" w:hAnsi="Times New Roman"/>
                <w:sz w:val="14"/>
                <w:szCs w:val="14"/>
                <w:color w:val="auto"/>
                <w:vertAlign w:val="superscript"/>
              </w:rPr>
              <w:t>(16)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135,786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203,993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Peter Jon Deschenes, Jr</w:t>
            </w:r>
            <w:r>
              <w:rPr>
                <w:rFonts w:ascii="Times New Roman" w:cs="Times New Roman" w:eastAsia="Times New Roman" w:hAnsi="Times New Roman"/>
                <w:sz w:val="14"/>
                <w:szCs w:val="14"/>
                <w:color w:val="auto"/>
                <w:vertAlign w:val="superscript"/>
              </w:rPr>
              <w:t>(17)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Blue Dragons AG</w:t>
            </w:r>
            <w:r>
              <w:rPr>
                <w:rFonts w:ascii="Times New Roman" w:cs="Times New Roman" w:eastAsia="Times New Roman" w:hAnsi="Times New Roman"/>
                <w:sz w:val="14"/>
                <w:szCs w:val="14"/>
                <w:color w:val="auto"/>
                <w:vertAlign w:val="superscript"/>
              </w:rPr>
              <w:t>(18)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Greg Upson</w:t>
            </w:r>
            <w:r>
              <w:rPr>
                <w:rFonts w:ascii="Times New Roman" w:cs="Times New Roman" w:eastAsia="Times New Roman" w:hAnsi="Times New Roman"/>
                <w:sz w:val="14"/>
                <w:szCs w:val="14"/>
                <w:color w:val="auto"/>
                <w:vertAlign w:val="superscript"/>
              </w:rPr>
              <w:t>(19)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Justin Gmelich</w:t>
            </w:r>
            <w:r>
              <w:rPr>
                <w:rFonts w:ascii="Times New Roman" w:cs="Times New Roman" w:eastAsia="Times New Roman" w:hAnsi="Times New Roman"/>
                <w:sz w:val="14"/>
                <w:szCs w:val="14"/>
                <w:color w:val="auto"/>
                <w:vertAlign w:val="superscript"/>
              </w:rPr>
              <w:t>(20)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905,617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395,000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Daniel Ehrmann</w:t>
            </w:r>
            <w:r>
              <w:rPr>
                <w:rFonts w:ascii="Times New Roman" w:cs="Times New Roman" w:eastAsia="Times New Roman" w:hAnsi="Times New Roman"/>
                <w:sz w:val="14"/>
                <w:szCs w:val="14"/>
                <w:color w:val="auto"/>
                <w:vertAlign w:val="superscript"/>
              </w:rPr>
              <w:t>(21)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27,367</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37,593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Nico Guardans</w:t>
            </w:r>
            <w:r>
              <w:rPr>
                <w:rFonts w:ascii="Times New Roman" w:cs="Times New Roman" w:eastAsia="Times New Roman" w:hAnsi="Times New Roman"/>
                <w:sz w:val="14"/>
                <w:szCs w:val="14"/>
                <w:color w:val="auto"/>
                <w:vertAlign w:val="superscript"/>
              </w:rPr>
              <w:t>(22)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170,786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68,207</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238,993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Sea Otter Securities Group LLC</w:t>
            </w:r>
            <w:r>
              <w:rPr>
                <w:rFonts w:ascii="Times New Roman" w:cs="Times New Roman" w:eastAsia="Times New Roman" w:hAnsi="Times New Roman"/>
                <w:sz w:val="14"/>
                <w:szCs w:val="14"/>
                <w:color w:val="auto"/>
                <w:vertAlign w:val="superscript"/>
              </w:rPr>
              <w:t>(23)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Sigsbee Investments LLC</w:t>
            </w:r>
            <w:r>
              <w:rPr>
                <w:rFonts w:ascii="Times New Roman" w:cs="Times New Roman" w:eastAsia="Times New Roman" w:hAnsi="Times New Roman"/>
                <w:sz w:val="14"/>
                <w:szCs w:val="14"/>
                <w:color w:val="auto"/>
                <w:vertAlign w:val="superscript"/>
              </w:rPr>
              <w:t>(24)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2,939,418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1,142,510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4,081,928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VPF Delphi Global</w:t>
            </w:r>
            <w:r>
              <w:rPr>
                <w:rFonts w:ascii="Times New Roman" w:cs="Times New Roman" w:eastAsia="Times New Roman" w:hAnsi="Times New Roman"/>
                <w:sz w:val="14"/>
                <w:szCs w:val="14"/>
                <w:color w:val="auto"/>
                <w:vertAlign w:val="superscript"/>
              </w:rPr>
              <w:t>(25)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The Justin Gmelich 2012 Family Trust</w:t>
            </w:r>
            <w:r>
              <w:rPr>
                <w:rFonts w:ascii="Times New Roman" w:cs="Times New Roman" w:eastAsia="Times New Roman" w:hAnsi="Times New Roman"/>
                <w:sz w:val="14"/>
                <w:szCs w:val="14"/>
                <w:color w:val="auto"/>
                <w:vertAlign w:val="superscript"/>
              </w:rPr>
              <w:t>(26)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510,617</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300,800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811,417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Helena Lupas</w:t>
            </w:r>
            <w:r>
              <w:rPr>
                <w:rFonts w:ascii="Times New Roman" w:cs="Times New Roman" w:eastAsia="Times New Roman" w:hAnsi="Times New Roman"/>
                <w:sz w:val="14"/>
                <w:szCs w:val="14"/>
                <w:color w:val="auto"/>
                <w:vertAlign w:val="superscript"/>
              </w:rPr>
              <w:t>(27)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Dora Lupas</w:t>
            </w:r>
            <w:r>
              <w:rPr>
                <w:rFonts w:ascii="Times New Roman" w:cs="Times New Roman" w:eastAsia="Times New Roman" w:hAnsi="Times New Roman"/>
                <w:sz w:val="14"/>
                <w:szCs w:val="14"/>
                <w:color w:val="auto"/>
                <w:vertAlign w:val="superscript"/>
              </w:rPr>
              <w:t>(27)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15,341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9,033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24,374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Argentum Cedit Virtuti</w:t>
            </w:r>
            <w:r>
              <w:rPr>
                <w:rFonts w:ascii="Times New Roman" w:cs="Times New Roman" w:eastAsia="Times New Roman" w:hAnsi="Times New Roman"/>
                <w:sz w:val="14"/>
                <w:szCs w:val="14"/>
                <w:color w:val="auto"/>
                <w:vertAlign w:val="superscript"/>
              </w:rPr>
              <w:t>(28)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Allseas Group SA</w:t>
            </w:r>
            <w:r>
              <w:rPr>
                <w:rFonts w:ascii="Times New Roman" w:cs="Times New Roman" w:eastAsia="Times New Roman" w:hAnsi="Times New Roman"/>
                <w:sz w:val="14"/>
                <w:szCs w:val="14"/>
                <w:color w:val="auto"/>
                <w:vertAlign w:val="superscript"/>
              </w:rPr>
              <w:t>(29)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28,030,268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8,336,743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36,367,011</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Majid Fahad M Alghaslan</w:t>
            </w:r>
            <w:r>
              <w:rPr>
                <w:rFonts w:ascii="Times New Roman" w:cs="Times New Roman" w:eastAsia="Times New Roman" w:hAnsi="Times New Roman"/>
                <w:sz w:val="14"/>
                <w:szCs w:val="14"/>
                <w:color w:val="auto"/>
                <w:vertAlign w:val="superscript"/>
              </w:rPr>
              <w:t>(30)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Portline Holdings Investments Limited</w:t>
            </w:r>
            <w:r>
              <w:rPr>
                <w:rFonts w:ascii="Times New Roman" w:cs="Times New Roman" w:eastAsia="Times New Roman" w:hAnsi="Times New Roman"/>
                <w:sz w:val="14"/>
                <w:szCs w:val="14"/>
                <w:color w:val="auto"/>
                <w:vertAlign w:val="superscript"/>
              </w:rPr>
              <w:t>(31)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Deepak Natarajan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58,596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22,734</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81,330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Isaac Barchas</w:t>
            </w:r>
            <w:r>
              <w:rPr>
                <w:rFonts w:ascii="Times New Roman" w:cs="Times New Roman" w:eastAsia="Times New Roman" w:hAnsi="Times New Roman"/>
                <w:sz w:val="14"/>
                <w:szCs w:val="14"/>
                <w:color w:val="auto"/>
                <w:vertAlign w:val="superscript"/>
              </w:rPr>
              <w:t>(32)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55,900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The Justin and Susan Kelly Foundation</w:t>
            </w:r>
            <w:r>
              <w:rPr>
                <w:rFonts w:ascii="Times New Roman" w:cs="Times New Roman" w:eastAsia="Times New Roman" w:hAnsi="Times New Roman"/>
                <w:sz w:val="14"/>
                <w:szCs w:val="14"/>
                <w:color w:val="auto"/>
                <w:vertAlign w:val="superscript"/>
              </w:rPr>
              <w:t>(33)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Richard W. Gaenzle Jr</w:t>
            </w:r>
            <w:r>
              <w:rPr>
                <w:rFonts w:ascii="Times New Roman" w:cs="Times New Roman" w:eastAsia="Times New Roman" w:hAnsi="Times New Roman"/>
                <w:sz w:val="14"/>
                <w:szCs w:val="14"/>
                <w:color w:val="auto"/>
                <w:vertAlign w:val="superscript"/>
              </w:rPr>
              <w:t>(34)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1290533 B.C. Ltd</w:t>
            </w:r>
            <w:r>
              <w:rPr>
                <w:rFonts w:ascii="Times New Roman" w:cs="Times New Roman" w:eastAsia="Times New Roman" w:hAnsi="Times New Roman"/>
                <w:sz w:val="14"/>
                <w:szCs w:val="14"/>
                <w:color w:val="auto"/>
                <w:vertAlign w:val="superscript"/>
              </w:rPr>
              <w:t>(35)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7,394,879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4,356,328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11,751,207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Andrew Carlyle Greig</w:t>
            </w:r>
            <w:r>
              <w:rPr>
                <w:rFonts w:ascii="Times New Roman" w:cs="Times New Roman" w:eastAsia="Times New Roman" w:hAnsi="Times New Roman"/>
                <w:sz w:val="14"/>
                <w:szCs w:val="14"/>
                <w:color w:val="auto"/>
                <w:vertAlign w:val="superscript"/>
              </w:rPr>
              <w:t>(36)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4,686,336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2,412,848</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6,508,675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590,509</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Sterling Securities Int. Ltd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1,262,208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743,566</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2,005,774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Aequanimitas Limited Partnership</w:t>
            </w:r>
            <w:r>
              <w:rPr>
                <w:rFonts w:ascii="Times New Roman" w:cs="Times New Roman" w:eastAsia="Times New Roman" w:hAnsi="Times New Roman"/>
                <w:sz w:val="14"/>
                <w:szCs w:val="14"/>
                <w:color w:val="auto"/>
                <w:vertAlign w:val="superscript"/>
              </w:rPr>
              <w:t>(37)</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1,690,481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995,859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2,686,340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South Lake One LLC</w:t>
            </w:r>
            <w:r>
              <w:rPr>
                <w:rFonts w:ascii="Times New Roman" w:cs="Times New Roman" w:eastAsia="Times New Roman" w:hAnsi="Times New Roman"/>
                <w:sz w:val="14"/>
                <w:szCs w:val="14"/>
                <w:color w:val="auto"/>
                <w:vertAlign w:val="superscript"/>
              </w:rPr>
              <w:t>(38)</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2,540,386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1,496,537</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4,036,923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Cadence Capital Limited</w:t>
            </w:r>
            <w:r>
              <w:rPr>
                <w:rFonts w:ascii="Times New Roman" w:cs="Times New Roman" w:eastAsia="Times New Roman" w:hAnsi="Times New Roman"/>
                <w:sz w:val="14"/>
                <w:szCs w:val="14"/>
                <w:color w:val="auto"/>
                <w:vertAlign w:val="superscript"/>
              </w:rPr>
              <w:t>(39)</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1,748,371</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1,029,962</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2,778,333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Cadence Global Pty Limited</w:t>
            </w:r>
            <w:r>
              <w:rPr>
                <w:rFonts w:ascii="Times New Roman" w:cs="Times New Roman" w:eastAsia="Times New Roman" w:hAnsi="Times New Roman"/>
                <w:sz w:val="14"/>
                <w:szCs w:val="14"/>
                <w:color w:val="auto"/>
                <w:vertAlign w:val="superscript"/>
              </w:rPr>
              <w:t>(40)</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2,026,258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1,193,670</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3,219,928</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Glencore International AG</w:t>
            </w:r>
            <w:r>
              <w:rPr>
                <w:rFonts w:ascii="Times New Roman" w:cs="Times New Roman" w:eastAsia="Times New Roman" w:hAnsi="Times New Roman"/>
                <w:sz w:val="14"/>
                <w:szCs w:val="14"/>
                <w:color w:val="auto"/>
                <w:vertAlign w:val="superscript"/>
              </w:rPr>
              <w:t>(41)</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2,315,724</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1,364,190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3,679,914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Windward Prospects Limited</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7,440,642</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4,383,288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11,823,930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$PTY Limited ATP #1 Fund</w:t>
            </w:r>
            <w:r>
              <w:rPr>
                <w:rFonts w:ascii="Times New Roman" w:cs="Times New Roman" w:eastAsia="Times New Roman" w:hAnsi="Times New Roman"/>
                <w:sz w:val="14"/>
                <w:szCs w:val="14"/>
                <w:color w:val="auto"/>
                <w:vertAlign w:val="superscript"/>
              </w:rPr>
              <w:t>(42)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567,352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334,226</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901,578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Wimbledon Investments PTY Limited ATF Deakin Fund</w:t>
            </w:r>
            <w:r>
              <w:rPr>
                <w:rFonts w:ascii="Times New Roman" w:cs="Times New Roman" w:eastAsia="Times New Roman" w:hAnsi="Times New Roman"/>
                <w:sz w:val="14"/>
                <w:szCs w:val="14"/>
                <w:color w:val="auto"/>
                <w:vertAlign w:val="superscript"/>
              </w:rPr>
              <w:t>(43)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567,644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335,488</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903,132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Nomura Securities International, Inc.</w:t>
            </w:r>
            <w:r>
              <w:rPr>
                <w:rFonts w:ascii="Times New Roman" w:cs="Times New Roman" w:eastAsia="Times New Roman" w:hAnsi="Times New Roman"/>
                <w:sz w:val="14"/>
                <w:szCs w:val="14"/>
                <w:color w:val="auto"/>
                <w:vertAlign w:val="superscript"/>
              </w:rPr>
              <w:t>(44)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787,962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Mintz, Levin, Cohn, Ferris, Glovsky and Popeo, P.C.</w:t>
            </w:r>
            <w:r>
              <w:rPr>
                <w:rFonts w:ascii="Times New Roman" w:cs="Times New Roman" w:eastAsia="Times New Roman" w:hAnsi="Times New Roman"/>
                <w:sz w:val="14"/>
                <w:szCs w:val="14"/>
                <w:color w:val="auto"/>
                <w:vertAlign w:val="superscript"/>
              </w:rPr>
              <w:t>(45)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36,361</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Fasken Martineau DuMoulin LLP</w:t>
            </w:r>
            <w:r>
              <w:rPr>
                <w:rFonts w:ascii="Times New Roman" w:cs="Times New Roman" w:eastAsia="Times New Roman" w:hAnsi="Times New Roman"/>
                <w:sz w:val="14"/>
                <w:szCs w:val="14"/>
                <w:color w:val="auto"/>
                <w:vertAlign w:val="superscript"/>
              </w:rPr>
              <w:t>(46)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14,630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Wedbush Securities Inc.</w:t>
            </w:r>
            <w:r>
              <w:rPr>
                <w:rFonts w:ascii="Times New Roman" w:cs="Times New Roman" w:eastAsia="Times New Roman" w:hAnsi="Times New Roman"/>
                <w:sz w:val="14"/>
                <w:szCs w:val="14"/>
                <w:color w:val="auto"/>
                <w:vertAlign w:val="superscript"/>
              </w:rPr>
              <w:t>(47)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Northland Securities, Inc.</w:t>
            </w:r>
            <w:r>
              <w:rPr>
                <w:rFonts w:ascii="Times New Roman" w:cs="Times New Roman" w:eastAsia="Times New Roman" w:hAnsi="Times New Roman"/>
                <w:sz w:val="14"/>
                <w:szCs w:val="14"/>
                <w:color w:val="auto"/>
                <w:vertAlign w:val="superscript"/>
              </w:rPr>
              <w:t>(48)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LSS Sustainable SPAC, LLC</w:t>
            </w:r>
            <w:r>
              <w:rPr>
                <w:rFonts w:ascii="Times New Roman" w:cs="Times New Roman" w:eastAsia="Times New Roman" w:hAnsi="Times New Roman"/>
                <w:sz w:val="14"/>
                <w:szCs w:val="14"/>
                <w:color w:val="auto"/>
                <w:vertAlign w:val="superscript"/>
              </w:rPr>
              <w:t>(49)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3,786,334</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704,580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9,756,274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5,265,360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Scott Edward Leonard</w:t>
            </w:r>
            <w:r>
              <w:rPr>
                <w:rFonts w:ascii="Times New Roman" w:cs="Times New Roman" w:eastAsia="Times New Roman" w:hAnsi="Times New Roman"/>
                <w:sz w:val="14"/>
                <w:szCs w:val="14"/>
                <w:color w:val="auto"/>
                <w:vertAlign w:val="superscript"/>
              </w:rPr>
              <w:t>(50)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25,009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202,557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263,191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35,625</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Thomas Stryker</w:t>
            </w:r>
            <w:r>
              <w:rPr>
                <w:rFonts w:ascii="Times New Roman" w:cs="Times New Roman" w:eastAsia="Times New Roman" w:hAnsi="Times New Roman"/>
                <w:sz w:val="14"/>
                <w:szCs w:val="14"/>
                <w:color w:val="auto"/>
                <w:vertAlign w:val="superscript"/>
              </w:rPr>
              <w:t>(51)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446,929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83,166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1,144,372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614,277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David Quiram</w:t>
            </w:r>
            <w:r>
              <w:rPr>
                <w:rFonts w:ascii="Times New Roman" w:cs="Times New Roman" w:eastAsia="Times New Roman" w:hAnsi="Times New Roman"/>
                <w:sz w:val="14"/>
                <w:szCs w:val="14"/>
                <w:color w:val="auto"/>
                <w:vertAlign w:val="superscript"/>
              </w:rPr>
              <w:t>(52)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151,795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28,247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357,810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177,768</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Gina Quiram</w:t>
            </w:r>
            <w:r>
              <w:rPr>
                <w:rFonts w:ascii="Times New Roman" w:cs="Times New Roman" w:eastAsia="Times New Roman" w:hAnsi="Times New Roman"/>
                <w:sz w:val="14"/>
                <w:szCs w:val="14"/>
                <w:color w:val="auto"/>
                <w:vertAlign w:val="superscript"/>
              </w:rPr>
              <w:t>(53)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143,459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26,696</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336,048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Susan Tanski</w:t>
            </w:r>
            <w:r>
              <w:rPr>
                <w:rFonts w:ascii="Times New Roman" w:cs="Times New Roman" w:eastAsia="Times New Roman" w:hAnsi="Times New Roman"/>
                <w:sz w:val="14"/>
                <w:szCs w:val="14"/>
                <w:color w:val="auto"/>
                <w:vertAlign w:val="superscript"/>
              </w:rPr>
              <w:t>(54)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149,319</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27,786</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382,114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205,009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Arthur Wong</w:t>
            </w:r>
            <w:r>
              <w:rPr>
                <w:rFonts w:ascii="Times New Roman" w:cs="Times New Roman" w:eastAsia="Times New Roman" w:hAnsi="Times New Roman"/>
                <w:sz w:val="14"/>
                <w:szCs w:val="14"/>
                <w:color w:val="auto"/>
                <w:vertAlign w:val="superscript"/>
              </w:rPr>
              <w:t>(55)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120,959</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309,361</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165,893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James Sheridan</w:t>
            </w:r>
            <w:r>
              <w:rPr>
                <w:rFonts w:ascii="Times New Roman" w:cs="Times New Roman" w:eastAsia="Times New Roman" w:hAnsi="Times New Roman"/>
                <w:sz w:val="14"/>
                <w:szCs w:val="14"/>
                <w:color w:val="auto"/>
                <w:vertAlign w:val="superscript"/>
              </w:rPr>
              <w:t>(56)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103,996</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19,352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267,301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143,953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Justin Kelly Revocable Trust</w:t>
            </w:r>
            <w:r>
              <w:rPr>
                <w:rFonts w:ascii="Times New Roman" w:cs="Times New Roman" w:eastAsia="Times New Roman" w:hAnsi="Times New Roman"/>
                <w:sz w:val="14"/>
                <w:szCs w:val="14"/>
                <w:color w:val="auto"/>
                <w:vertAlign w:val="superscript"/>
              </w:rPr>
              <w:t>(57)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8,374</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103,374</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Michael J. Schlembach</w:t>
            </w:r>
            <w:r>
              <w:rPr>
                <w:rFonts w:ascii="Times New Roman" w:cs="Times New Roman" w:eastAsia="Times New Roman" w:hAnsi="Times New Roman"/>
                <w:sz w:val="14"/>
                <w:szCs w:val="14"/>
                <w:color w:val="auto"/>
                <w:vertAlign w:val="superscript"/>
              </w:rPr>
              <w:t>(58)</w:t>
            </w: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6,699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Strickland 2004 Family Trust</w:t>
            </w:r>
            <w:r>
              <w:rPr>
                <w:rFonts w:ascii="Times New Roman" w:cs="Times New Roman" w:eastAsia="Times New Roman" w:hAnsi="Times New Roman"/>
                <w:sz w:val="14"/>
                <w:szCs w:val="14"/>
                <w:color w:val="auto"/>
                <w:vertAlign w:val="superscript"/>
              </w:rPr>
              <w:t>(59)</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Ashwin Verma</w:t>
            </w:r>
            <w:r>
              <w:rPr>
                <w:rFonts w:ascii="Times New Roman" w:cs="Times New Roman" w:eastAsia="Times New Roman" w:hAnsi="Times New Roman"/>
                <w:sz w:val="14"/>
                <w:szCs w:val="14"/>
                <w:color w:val="auto"/>
                <w:vertAlign w:val="superscript"/>
              </w:rPr>
              <w:t>(60)</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Kenna Gursel</w:t>
            </w:r>
            <w:r>
              <w:rPr>
                <w:rFonts w:ascii="Times New Roman" w:cs="Times New Roman" w:eastAsia="Times New Roman" w:hAnsi="Times New Roman"/>
                <w:sz w:val="14"/>
                <w:szCs w:val="14"/>
                <w:color w:val="auto"/>
                <w:vertAlign w:val="superscript"/>
              </w:rPr>
              <w:t>(61)</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3,350</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46,037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24,687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WILLIAMS IRAT, MICHAEL</w:t>
            </w:r>
            <w:r>
              <w:rPr>
                <w:rFonts w:ascii="Times New Roman" w:cs="Times New Roman" w:eastAsia="Times New Roman" w:hAnsi="Times New Roman"/>
                <w:sz w:val="14"/>
                <w:szCs w:val="14"/>
                <w:color w:val="auto"/>
                <w:vertAlign w:val="superscript"/>
              </w:rPr>
              <w:t>(62)</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5,815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15,239</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8,342</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M. Patrick Williams</w:t>
            </w:r>
            <w:r>
              <w:rPr>
                <w:rFonts w:ascii="Times New Roman" w:cs="Times New Roman" w:eastAsia="Times New Roman" w:hAnsi="Times New Roman"/>
                <w:sz w:val="14"/>
                <w:szCs w:val="14"/>
                <w:color w:val="auto"/>
                <w:vertAlign w:val="superscript"/>
              </w:rPr>
              <w:t>(63)</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15,846</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2,949</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40,527</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21,732</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Allan Duncan</w:t>
            </w:r>
            <w:r>
              <w:rPr>
                <w:rFonts w:ascii="Times New Roman" w:cs="Times New Roman" w:eastAsia="Times New Roman" w:hAnsi="Times New Roman"/>
                <w:sz w:val="14"/>
                <w:szCs w:val="14"/>
                <w:color w:val="auto"/>
                <w:vertAlign w:val="superscript"/>
              </w:rPr>
              <w:t>(64)</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6,905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Jay Allen Bys</w:t>
            </w:r>
            <w:r>
              <w:rPr>
                <w:rFonts w:ascii="Times New Roman" w:cs="Times New Roman" w:eastAsia="Times New Roman" w:hAnsi="Times New Roman"/>
                <w:sz w:val="14"/>
                <w:szCs w:val="14"/>
                <w:color w:val="auto"/>
                <w:vertAlign w:val="superscript"/>
              </w:rPr>
              <w:t>(65)</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9,000</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1,675</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23,018</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12,343</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Timothy A. Welsh</w:t>
            </w:r>
            <w:r>
              <w:rPr>
                <w:rFonts w:ascii="Times New Roman" w:cs="Times New Roman" w:eastAsia="Times New Roman" w:hAnsi="Times New Roman"/>
                <w:sz w:val="14"/>
                <w:szCs w:val="14"/>
                <w:color w:val="auto"/>
                <w:vertAlign w:val="superscript"/>
              </w:rPr>
              <w:t>(66)</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16,673</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3,103</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43,526</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23,750</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0"/>
                <w:szCs w:val="10"/>
                <w:color w:val="auto"/>
              </w:rPr>
              <w:t>RVA2LGA Investors LLC</w:t>
            </w:r>
            <w:r>
              <w:rPr>
                <w:rFonts w:ascii="Times New Roman" w:cs="Times New Roman" w:eastAsia="Times New Roman" w:hAnsi="Times New Roman"/>
                <w:sz w:val="14"/>
                <w:szCs w:val="14"/>
                <w:color w:val="auto"/>
                <w:vertAlign w:val="superscript"/>
              </w:rPr>
              <w:t>(67)</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83,363</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15,513</w:t>
            </w:r>
          </w:p>
        </w:tc>
        <w:tc>
          <w:tcPr>
            <w:tcW w:w="12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217,626</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118,750</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Magnetar Financial LLC</w:t>
            </w:r>
            <w:r>
              <w:rPr>
                <w:rFonts w:ascii="Times New Roman" w:cs="Times New Roman" w:eastAsia="Times New Roman" w:hAnsi="Times New Roman"/>
                <w:sz w:val="14"/>
                <w:szCs w:val="14"/>
                <w:color w:val="auto"/>
                <w:vertAlign w:val="superscript"/>
              </w:rPr>
              <w:t>(68)</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270,095</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50,260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961,604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641,249</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24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Charlote Barron</w:t>
            </w:r>
          </w:p>
        </w:tc>
        <w:tc>
          <w:tcPr>
            <w:tcW w:w="6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2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Claudia Barron</w:t>
            </w:r>
          </w:p>
        </w:tc>
        <w:tc>
          <w:tcPr>
            <w:tcW w:w="6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47,438</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136,832</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89,394</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32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Lydia Barron</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47,438</w:t>
            </w: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136,832</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89,394</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89"/>
        </w:trPr>
        <w:tc>
          <w:tcPr>
            <w:tcW w:w="2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r>
    </w:tbl>
    <w:p>
      <w:pPr>
        <w:spacing w:after="0" w:line="148"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less than 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Selling Securityholders may be deemed to beneficially own other shares reported herein.</w:t>
      </w:r>
    </w:p>
    <w:p>
      <w:pPr>
        <w:spacing w:after="0" w:line="26" w:lineRule="exact"/>
        <w:rPr>
          <w:sz w:val="20"/>
          <w:szCs w:val="20"/>
          <w:color w:val="auto"/>
        </w:rPr>
      </w:pPr>
    </w:p>
    <w:p>
      <w:pPr>
        <w:ind w:left="420" w:right="5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business address of each of these holders is c/o TMC the metals company Inc., 595 Howe Street, 10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Vancouver, British Columbia, Canada V6C 2T5.</w:t>
      </w:r>
    </w:p>
    <w:p>
      <w:pPr>
        <w:ind w:left="420" w:right="2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14,487,559 Common Shares and (ii) 4,078,044 Common Shares that are issuable upon exercise of options that are exercisable within 60 days of February 28, 2022. Does not include 2,275,334 Common Shares underlying options that are not exercisable within 60 days of February 28, 2022.</w:t>
      </w:r>
    </w:p>
    <w:p>
      <w:pPr>
        <w:ind w:left="420" w:right="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43,620,976 Common Shares held by ERAS Capital LLC (“ERAS”) and (ii) 642,613 Common Shares that are issuable upon exercise of options that are exercisable within 60 days of February 28, 2022 held by Mr. Karkar. ERAS also holds 1,414,716 warrants to purchase 1,414,716 Common Shares. Does not include 126,407 Common Shares underlying options that are not exercisable within 60 days of February 28, 2022 held by Mr. Karkar. Mr. Karkar has voting and dispositive control over the securities held by ERAS and therefore Mr. Karkar may be deemed to have beneficial ownership of the shares held by ERAS.</w:t>
      </w:r>
    </w:p>
    <w:p>
      <w:pPr>
        <w:ind w:left="42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1,222,757 Common Shares, (ii) 618,381 Common Shares held by Bedrock Capital Corp., and (iii) 584,720 Common Shares that are issuable upon exercise of options that are exercisable within 60 days of February 28, 2022. Does not include 101,126 Common Shares underlying options that are not exercisable within 60 days of February 28, 2022. Mr. Matysek has voting and investment power over the shares held by Bedrock Capital Corp. The business address of such holder is 5603 — 1480 Howe Street, Vancouver, British Columbia, Canada V6Z 0G5.</w:t>
      </w:r>
    </w:p>
    <w:p>
      <w:pPr>
        <w:jc w:val="both"/>
        <w:ind w:left="420" w:right="1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126,407 Common Shares underlying options that are not exercisable within 60 days of February 28, 2022. Mr. Paes-Braga has voting and investment power over the shares held by WTP Capital Corp. and Valola Holdings Corp. The business address of such holder is 5603</w:t>
      </w: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1480 Howe Street, Vancouver, British Columbia, Canada V6Z 0G5.</w:t>
      </w:r>
    </w:p>
    <w:p>
      <w:pPr>
        <w:spacing w:after="0" w:line="18" w:lineRule="exact"/>
        <w:rPr>
          <w:rFonts w:ascii="Times New Roman" w:cs="Times New Roman" w:eastAsia="Times New Roman" w:hAnsi="Times New Roman"/>
          <w:sz w:val="16"/>
          <w:szCs w:val="16"/>
          <w:color w:val="auto"/>
        </w:rPr>
      </w:pPr>
    </w:p>
    <w:p>
      <w:pPr>
        <w:jc w:val="both"/>
        <w:ind w:left="420" w:right="1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109,903 Common Shares and (ii) 1,323,613 Common Shares that are issuable upon exercise of options that are exercisable within 60 days of February 28, 2022. Does not include 505,630 Common Shares underlying options that are not exercisable within 60 days of February 28, 2022.</w:t>
      </w:r>
    </w:p>
    <w:p>
      <w:pPr>
        <w:ind w:left="420" w:right="2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301,398 Common Shares, (ii) 30,682 Common Shares held of record by Ms. Ilves’ children, Helena Lupas and Dora Lupas, and (iii) 1,362,077 Common Shares that are issuable upon exercise of options that are exercisable within 60 days of February 28, 2022. Does not include 1,011,259 Common Shares underlying options that are not exercisable within 60 days of February 28, 2022. Ms. Ilves disclaims ownership over the shares held by her children, Helena Lupas and Dora Lupas.</w:t>
      </w: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522,981 Common Shares underlying options that are not exercisable within 60 days of February 28, 2022.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reported herein are held directly by Maersk Supply Services A/S, a wholly-owned subsidiary of A.P. Moller — Maersk</w:t>
      </w:r>
    </w:p>
    <w:p>
      <w:pPr>
        <w:spacing w:after="0" w:line="18" w:lineRule="exact"/>
        <w:rPr>
          <w:rFonts w:ascii="Times New Roman" w:cs="Times New Roman" w:eastAsia="Times New Roman" w:hAnsi="Times New Roman"/>
          <w:sz w:val="16"/>
          <w:szCs w:val="16"/>
          <w:color w:val="auto"/>
        </w:rPr>
      </w:pPr>
    </w:p>
    <w:p>
      <w:pPr>
        <w:ind w:left="420" w:right="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A.P. Moller Holding A/S controls a majority of the outstanding equity interests and voting power of A.P. Moller — Maersk A/S. A.P. Moller Holding A/S is a wholly-owned subsidiary of A.P. Moller og Hustru Chastine Mc-Kinney Mollers Fond til almene Formaal (the “Moller Foundation”). Ane Maersk Mc Kinney Uggla, Brigitte Possing, Lars-Erik Brenoe, Alette Maersk Mc-Kinney Sorensen and Claus Michael Valentin Hemmingsen, directors of the Moller Foundation, have voting and investment control over the shares held by Maersk Supply Service A/S. The business address of such holder is Esplanaden 50 Copenhagen K, DK-1098 Denmark. Maersk Supply Service A/S is a subsidiary of AP Moller-Maersk A/S.</w:t>
      </w:r>
    </w:p>
    <w:p>
      <w:pPr>
        <w:ind w:left="420" w:right="5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Anthony O’Sullivan has voting and investment control over the shares held by JOZEM Pty Ltd. The business address of such holder is 19 Tennyson Street, Bulimba, Queensland 4171.</w:t>
      </w:r>
    </w:p>
    <w:p>
      <w:pPr>
        <w:ind w:left="420" w:right="30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WTP Capital Corp. The business address of such holder is 1000-595 Howe Street, Vancouver, British Columbia, Canada V6C 2T5.</w:t>
      </w:r>
    </w:p>
    <w:p>
      <w:pPr>
        <w:ind w:left="420" w:right="4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Paes-Braga has voting and investment power over the shares held by Valola Holdings Corp. The business address of such holder is One Nexus Way, Camana Bay, Grand Cayman, Cayman Islands KY1-9005.</w:t>
      </w:r>
    </w:p>
    <w:p>
      <w:pPr>
        <w:ind w:left="420" w:right="36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 West Quay Road, Marina Residential Estate, 206 Pembroke Block C, Waterfront, Cape Town, South Africa 8001.</w:t>
      </w:r>
    </w:p>
    <w:p>
      <w:pPr>
        <w:ind w:left="42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Matysek has voting and investment power over the shares held by Bedrock Capital Corp. The business address of such holder is 5603 — 1480 Howe Street, Vancouver, British Columbia, Canada V6Z 0G5.</w:t>
      </w:r>
    </w:p>
    <w:p>
      <w:pPr>
        <w:ind w:left="420" w:right="4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Nantahala Capital Management, LLC is a Registered Investment Adviser and has been delegated the legal power to vote and/or direct the disposition of such securities on behalf of each of Silver Creek CS SAV, L.L.C., Blackwell Partners LLC — Series A, Nantahala Capital Partners Limited Partnership, Nantahala Capital Partners II Limited Partnership, Nantahala Capital Partners SI, LP, NCP QR LP and NCP RFM LP (collectively, the “Nantahala Securityholders”) as a General Partner or Investment Manager and would be considered the beneficial owner of such securities.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6"/>
          <w:szCs w:val="16"/>
          <w:color w:val="auto"/>
        </w:rPr>
        <w:t xml:space="preserve"> Floor, New Canaan, Connecticut 06844.</w:t>
      </w:r>
    </w:p>
    <w:p>
      <w:pPr>
        <w:spacing w:after="0" w:line="1"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115 East 67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4B, New York, New York 10065.</w:t>
      </w:r>
    </w:p>
    <w:p>
      <w:pPr>
        <w:spacing w:after="0" w:line="18" w:lineRule="exact"/>
        <w:rPr>
          <w:rFonts w:ascii="Times New Roman" w:cs="Times New Roman" w:eastAsia="Times New Roman" w:hAnsi="Times New Roman"/>
          <w:sz w:val="16"/>
          <w:szCs w:val="16"/>
          <w:color w:val="auto"/>
        </w:rPr>
      </w:pPr>
    </w:p>
    <w:p>
      <w:pPr>
        <w:ind w:left="420" w:right="280" w:hanging="412"/>
        <w:spacing w:after="0" w:line="264" w:lineRule="auto"/>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Christian Bolleter and Johannes Matt are each Directors of Blue Dragons AG (“Blue Dragons”) and may be deemed to have voting and investment power over the shares held by Blue Dragons. The business address of such holder is Essanestrasse 91, Eschen, Liechtenstein 9492.</w:t>
      </w: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3270 Mathers Avenue, West Vancouver, British Columbia, Canada V7V 2K5.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316 West 36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Street, Apartment 10A, New York, New York 10018.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Flat 6, 46 Pont Street, London, United Kingdom SW1X 0AD.</w:t>
      </w:r>
    </w:p>
    <w:p>
      <w:pPr>
        <w:spacing w:after="0" w:line="26"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 Otter Securities Group is a registered broker-dealer and FINRA member. Peter Smith, Peter Wisniewski and Nick Fahey may be deemed to have voting and investment power over the shares held by Sea Otter Securities Group. The business address of such holder is 107 Grand Street,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10013.</w:t>
      </w: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Brian J. Higgins may be deemed to have voting and investment power over the shares held by Sigsbee Investments LLC.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right="1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Tian Tollefsen, Portfolio Manager of VPF Delphi Global (“VPF Global”), may be deemed to have voting and investment power over the shares held by VPF Global. The business address of such holder is Professor Kohts vei 9, Lysaker, Norway 1327.</w:t>
      </w:r>
    </w:p>
    <w:p>
      <w:pPr>
        <w:ind w:left="420" w:right="2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Gmelich may be deemed to have voting and investment power over the shares held by the Justin Gmelich 2012 Family Trust. The business address of such holder is c/o King Street, 299 Park Avenue, 40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New York, New York 10171.</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of such holder is Apartment 6403, Jaddaf Waterfront Tower D1, Dubair, United Arab Emirates.</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Edward Heerema may be deemed to have voting and investment power over the shares held by Argentum Cedit Virtuti. The business address of such holder is 18 Route de Pra de Plan, Case Postale, 411 1618 Chatel-Saint-Denis, Switzerland.</w:t>
      </w: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16,451,648 Common Shares and (ii) 11,578,620 Common Shares issuable upon exercise of the Allseas Warrant. Mr. Edward Heerema, the Administrateur President of Allseas, has sole authority over Allseas. Mr.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w:t>
      </w:r>
    </w:p>
    <w:p>
      <w:pPr>
        <w:ind w:left="420" w:right="6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18</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6"/>
          <w:szCs w:val="16"/>
          <w:color w:val="auto"/>
        </w:rPr>
        <w:t xml:space="preserve"> Floor, Al Subaeie Tower, 5316 Street Prince Faisal Ibn Fahd Road, Khobar, Eastern Province, Kingdom of Saudi Arabia.</w:t>
      </w:r>
    </w:p>
    <w:p>
      <w:pPr>
        <w:ind w:left="4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Angela On Kei Leong, Ambrose So and Avraham Malamud may be deemed to have voting and investment power over the shares held by Portline Holdings Investments Limited. The business address of such holder is Wickhams Cay 1, Road Town, Tortola, British Virgin Islands.</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902 Blanco Street, Austing Texas 78703.</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The Foundation Source, 501 Silverside Road, Wilmington, Delaware 19809.</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c/o Sustainable Opportunities Acquisition Corp., 1601 Bryan Street, Suite 4141, Dallas, Texas 75201.</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David J. Foley may be deemed to have voting and investment power over the shares held by 1290533 B.C. Ltd. The business address of such holder is 38 Prince Arthur Avenue, Toronto Ontario, Canada M5R 1A9.</w:t>
      </w:r>
    </w:p>
    <w:p>
      <w:pPr>
        <w:jc w:val="both"/>
        <w:ind w:left="420" w:right="1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4,095,827 Common Shares and (ii) 590,509 Common Shares that are issuable upon exercise of options that are exercisable within 60 days of February 28, 2022. Does not include 126,417 Common Shares underlying options that are not exercisable within 60 days of February 28, 2022. The business address of such holder is 16/1 MacQuarie Street, Teneriffe, QLD 4005 Australia.</w:t>
      </w:r>
    </w:p>
    <w:p>
      <w:pPr>
        <w:ind w:left="420" w:right="24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in his capacity as the sole limited partner of Aequanimitas Limited Partnership (“Aequanimitas”) and the manager of Aequanimitas’s general partner, may be deemed to have voting and dispositive power with respect to the securities held by Aequanimitas. The business address of such holder is Presidente Riesco 5711 office 1603 Las Condes, Santiago, Chile.</w:t>
      </w:r>
    </w:p>
    <w:p>
      <w:pPr>
        <w:ind w:left="420" w:right="180" w:hanging="412"/>
        <w:spacing w:after="0" w:line="263"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Isidoro Quiroga Cortés, María Victoria Quiroga Moreno, Martín Guiloff Salvador and Felipe Correa Gonz</w:t>
      </w:r>
      <w:r>
        <w:rPr>
          <w:rFonts w:ascii="Arial" w:cs="Arial" w:eastAsia="Arial" w:hAnsi="Arial"/>
          <w:sz w:val="16"/>
          <w:szCs w:val="16"/>
          <w:color w:val="auto"/>
        </w:rPr>
        <w:t>ȧ</w:t>
      </w:r>
      <w:r>
        <w:rPr>
          <w:rFonts w:ascii="Times New Roman" w:cs="Times New Roman" w:eastAsia="Times New Roman" w:hAnsi="Times New Roman"/>
          <w:sz w:val="16"/>
          <w:szCs w:val="16"/>
          <w:color w:val="auto"/>
        </w:rPr>
        <w:t>lez, in their capacity as members of the board of managers, may be deemed to have voting and dispositive power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Capital Limited (“Cadence Capital”) is a company listed on the Australian Securities Exchange. The business address of such holder is Level 11, 131 Macquarie Street, Sydney, NSW 2000 Australia.</w:t>
      </w:r>
    </w:p>
    <w:p>
      <w:pPr>
        <w:ind w:left="420" w:right="2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Cadence Global Pty Limited (“Cadence Global”) is a 100% owned subsidiary of Cadence Capital, which is a company listed on the Australian Securities Exchange. Cadence Global disclaims beneficial ownership of its shares to Cadence Capital. The business address of such holder is Level 11, 131 Macquarie Street, Sydney, NSW 2000 Australia.</w:t>
      </w:r>
    </w:p>
    <w:p>
      <w:pPr>
        <w:ind w:left="420" w:right="3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Glencore International AG is owned by Glencore plc, a publically listed entity on the London Stock Exchange. The business address of such holder is Baarermattstrasse 3, Baar, Zug, Switzerland 6340.</w:t>
      </w:r>
    </w:p>
    <w:p>
      <w:pPr>
        <w:ind w:left="420" w:right="12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Heydon may be deemed to have voting and investment power over the shares held by $ PTY Limited ATP #1 Fund. The business address of such holder is 88 Stanmere Street, Carindale, QLD 4152 Australia. Mr. Heydon disclaims beneficial ownership over the shares held by Wimbledon Investments PTY Limited ATF Deakin Fund, which is controlled by his wife, Janis Heydon.</w:t>
      </w:r>
    </w:p>
    <w:p>
      <w:pPr>
        <w:jc w:val="both"/>
        <w:ind w:left="420" w:right="2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Janis Heydon may be deemed to have voting and investment power over the shares held by Wimbledon Investments PTY Limited ATF Deakin Fund. The business address of such holder is 88 Stanmere Street, Carindale, QLD 4152 Australia. Ms. Heydon disclaims beneficial ownership over the shares held by $ PTY Limited ATP #1 Fund, which is controlled by her husband, David Heydon.</w:t>
      </w:r>
    </w:p>
    <w:p>
      <w:pPr>
        <w:ind w:left="420" w:right="40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Nomura Securities International, Inc. is a registered broker-dealer and FINRA member. Received such Common Shares as consideration for advisory and placement agent services rendered in connection with the Business Combination.</w:t>
      </w: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such Common Shares in lieu of fees for professional services rendered in connection with the Business Combination.</w:t>
      </w:r>
    </w:p>
    <w:p>
      <w:pPr>
        <w:spacing w:after="0" w:line="18" w:lineRule="exact"/>
        <w:rPr>
          <w:rFonts w:ascii="Times New Roman" w:cs="Times New Roman" w:eastAsia="Times New Roman" w:hAnsi="Times New Roman"/>
          <w:sz w:val="16"/>
          <w:szCs w:val="16"/>
          <w:color w:val="auto"/>
        </w:rPr>
      </w:pPr>
    </w:p>
    <w:p>
      <w:pPr>
        <w:ind w:left="420" w:right="3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Wedbush Securities Inc. is a registered broker-dealer and FINRA member. Received such Common Shares as consideration for advisory and placement agent services rendered in connection with the Business Combination.</w:t>
      </w:r>
    </w:p>
    <w:p>
      <w:pPr>
        <w:ind w:left="420" w:right="260" w:hanging="412"/>
        <w:spacing w:after="0" w:line="264"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Northland Securities, Inc. is a registered broker-dealer and FINRA member. Received such Common Shares as consideration for advisory and placement agent services rendered in connection with the Business Combination.</w:t>
      </w:r>
    </w:p>
    <w:p>
      <w:pPr>
        <w:ind w:left="420" w:right="20" w:hanging="412"/>
        <w:spacing w:after="0" w:line="288" w:lineRule="auto"/>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Scott Honour may be deemed to have voting and investment power over the shares held by LSS Sustainable SPAC, LLC. The business address of such holder is 315 Lake St E, Ste 301, Wayzata, MN 55391.</w:t>
      </w:r>
    </w:p>
    <w:p>
      <w:pPr>
        <w:sectPr>
          <w:pgSz w:w="11900" w:h="16838" w:orient="portrait"/>
          <w:cols w:equalWidth="0" w:num="1">
            <w:col w:w="9880"/>
          </w:cols>
          <w:pgMar w:left="980" w:top="513" w:right="103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420" w:right="240" w:hanging="412"/>
        <w:spacing w:after="0" w:line="269"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25,009 Common Shares held by Scott E. Leonard IRA. Mr. Leonard may be deemed to have voting and investment power over the shares held by Scott E. Leonard IRA. The business address of such holder is 3816 Hanover St., Dallas, Texas 75225.</w:t>
      </w:r>
    </w:p>
    <w:p>
      <w:pPr>
        <w:ind w:left="420" w:right="6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151,585 Common Shares held by Gina Thomas Stryker, (ii)147,672 Common Shares held by Gina Thomas Stryker 2008 Children’s Trust U/A DTD 12/09/2008 JRT and (iii) 147,672 Common Shares held by Gina Thomas Stryker 2008 Children’s Trust U/A DTD 12/09/2008 MET. Gina Thomas Stryker Ms. Stryker is the trustee of each of these trusts. The business address of such holder is 1239 W. Bell St., Houston, TX 77019.</w:t>
      </w:r>
    </w:p>
    <w:p>
      <w:pPr>
        <w:jc w:val="both"/>
        <w:ind w:left="420" w:right="14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143,459 Common Shares held by David Quiram and (ii) 8,336 Common Shares held by QUIRAM ROTH/IRA, DAVID J. David Quiram may be deemed to have voting and investment power over the shares held by QUIRAM ROTH/IRA, DAVID J. The business address of such holder is 6707 Lake Circle Dr., Dallas, TX 75214.</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3990 Vitruvian Way, Apt. 1263, Addison, TX 75001.</w:t>
      </w:r>
    </w:p>
    <w:p>
      <w:pPr>
        <w:spacing w:after="0" w:line="18" w:lineRule="exact"/>
        <w:rPr>
          <w:rFonts w:ascii="Times New Roman" w:cs="Times New Roman" w:eastAsia="Times New Roman" w:hAnsi="Times New Roman"/>
          <w:sz w:val="16"/>
          <w:szCs w:val="16"/>
          <w:color w:val="auto"/>
        </w:rPr>
      </w:pPr>
    </w:p>
    <w:p>
      <w:pPr>
        <w:ind w:left="420" w:right="12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145,151 Common Shares held by Susan Tanski and (ii) 4,168 Common Shares held by Susan B. Tanski BENE. Susan Tanski may be deemed to have voting and investment power over the shares held by Susan B. Tanski BENE. The business address of such holder is 2155 Washington Ct. Apt. 504, Miami Beach, FL 33139.</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123 Linden Avenue, Atherton, CA 94027.</w:t>
      </w:r>
    </w:p>
    <w:p>
      <w:pPr>
        <w:spacing w:after="0" w:line="18" w:lineRule="exact"/>
        <w:rPr>
          <w:rFonts w:ascii="Times New Roman" w:cs="Times New Roman" w:eastAsia="Times New Roman" w:hAnsi="Times New Roman"/>
          <w:sz w:val="16"/>
          <w:szCs w:val="16"/>
          <w:color w:val="auto"/>
        </w:rPr>
      </w:pPr>
    </w:p>
    <w:p>
      <w:pPr>
        <w:ind w:left="42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78,987 Common Shares held by James Sheridan and (ii) 25,009 Common Shares held by SHERIDAN III IRAT, JAMES J. James J. Sheridan may be deemed to have voting and investment power over the shares held by SHERIDAN III IRAT, JAMES J. The business address of such holder is 651 Bastrop Rd, Lucas, TX 75002.</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3100 Maplewood Road, Wayzata, MN 55391.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7942 Cooper Road, Cincinnati, OH 45242.</w:t>
      </w:r>
    </w:p>
    <w:p>
      <w:pPr>
        <w:spacing w:after="0" w:line="18" w:lineRule="exact"/>
        <w:rPr>
          <w:rFonts w:ascii="Times New Roman" w:cs="Times New Roman" w:eastAsia="Times New Roman" w:hAnsi="Times New Roman"/>
          <w:sz w:val="16"/>
          <w:szCs w:val="16"/>
          <w:color w:val="auto"/>
        </w:rPr>
      </w:pPr>
    </w:p>
    <w:p>
      <w:pPr>
        <w:ind w:left="420" w:right="4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Warren L. Strickland Jr. may be deemed to have voting and investment power over the shares held by Strickland 2004 Family Trust. The business address of such holder is 28 Edge Hill Drive, Dallas, TX 75248-7915.</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1555 Elm St. Apt# 3103, Dallas, TX 75201.</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2539 Telegraph Ave, APT 601, Berkeley, CA 94704.</w:t>
      </w:r>
    </w:p>
    <w:p>
      <w:pPr>
        <w:spacing w:after="0" w:line="18" w:lineRule="exact"/>
        <w:rPr>
          <w:rFonts w:ascii="Times New Roman" w:cs="Times New Roman" w:eastAsia="Times New Roman" w:hAnsi="Times New Roman"/>
          <w:sz w:val="16"/>
          <w:szCs w:val="16"/>
          <w:color w:val="auto"/>
        </w:rPr>
      </w:pPr>
    </w:p>
    <w:p>
      <w:pPr>
        <w:ind w:left="420" w:right="400" w:hanging="412"/>
        <w:spacing w:after="0" w:line="264"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Patrick Williams may be deemed to have voting and investment power over the shares held by WILLIAMS IRAT, MICHAEL. The business address of such holder is 110 Wilmington Ct., Southlake, TX 76092.</w:t>
      </w: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110 Wilmington Ct., Southlake, TX 76092.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3404 Drexel Dr., Dallas, Texas 75205.</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9 Pintail Point, Heath, TX 75032.</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484 Mississippi River Blvd. S., St. Paul, MN 55116.</w:t>
      </w:r>
    </w:p>
    <w:p>
      <w:pPr>
        <w:spacing w:after="0" w:line="1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such holder is 4 Ampthill Road, Richmond, VA 23226.</w:t>
      </w:r>
    </w:p>
    <w:p>
      <w:pPr>
        <w:spacing w:after="0" w:line="18" w:lineRule="exact"/>
        <w:rPr>
          <w:rFonts w:ascii="Times New Roman" w:cs="Times New Roman" w:eastAsia="Times New Roman" w:hAnsi="Times New Roman"/>
          <w:sz w:val="16"/>
          <w:szCs w:val="16"/>
          <w:color w:val="auto"/>
        </w:rPr>
      </w:pPr>
    </w:p>
    <w:p>
      <w:pPr>
        <w:ind w:left="420" w:right="40" w:hanging="412"/>
        <w:spacing w:after="0" w:line="266" w:lineRule="auto"/>
        <w:tabs>
          <w:tab w:leader="none" w:pos="4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138,829 Common Shares held by Magnetar Constellation Master Fund, LTD., (ii) 37,543 Common Shares held by Magnetar Constellation Master Fund II, LTD, (iii) 38,083 Common Shares held by Magnetar SC Fund LTD, and (iv) 55,640 Common Shares held by Magnetar Structured Credit Fund, LP. Magnetar Financial LLC, a Delaware limited liability company (“Magnetar Financial”) shares voting and dispositive power with Magnetar Capital Partners LP, Supernova Management LLC and Alec N. Litowitz with regard to the shares held by Magnetar Constellation Master Fund, LTD, Magnetar Constellation Fund II, LTD and Magnetar SC Fund LTD, all Cayman Islands exempted companies, collectively (the “Magnetar Funds”). Magnetar Financial serves as the investment adviser to the Magnetar Funds, and as such, Magnetar Financial exercises voting and investment power over the common Shares held for the Magnetar Funds’ accounts. Magnetar Capital Partners LP serves as the sole member and parent holding company of Magnetar Financial. Supernova Management LLC is the general partner of Magnetar Capital Partners LP. The manager of Supernova Management LLC is Alec N. Litowitz. The address of the principal business office of each of Magnetar Financial, Magnetar Capital Partners LP, Supernova Management LLC and Alec N. Litowitz is 1603 Orrington Avenue, 13th Floor, Evanston, Illinois 60201.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and 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Erika Ilves</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Gregory Stone</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Ocean Scientist</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Christelle Gedeon</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Hall</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w:t>
            </w: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Gerard Barron </w:t>
      </w:r>
      <w:r>
        <w:rPr>
          <w:rFonts w:ascii="Times New Roman" w:cs="Times New Roman" w:eastAsia="Times New Roman" w:hAnsi="Times New Roman"/>
          <w:sz w:val="18"/>
          <w:szCs w:val="18"/>
          <w:color w:val="auto"/>
        </w:rPr>
        <w:t>has served as our Chief Executive Officer and Chairman of the board of directors since the Closing. Mr. Barron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O’Sullivan </w:t>
      </w:r>
      <w:r>
        <w:rPr>
          <w:rFonts w:ascii="Times New Roman" w:cs="Times New Roman" w:eastAsia="Times New Roman" w:hAnsi="Times New Roman"/>
          <w:sz w:val="18"/>
          <w:szCs w:val="18"/>
          <w:color w:val="auto"/>
        </w:rPr>
        <w:t>has served as our Chief Development Officer since the Closing and has served as DeepGreen’s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w:t>
      </w:r>
    </w:p>
    <w:p>
      <w:pPr>
        <w:spacing w:after="0" w:line="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Mr. O’Sullivan earned a M.Sc. in Mineral Exploration from the University of Western Australia and a B.Sc. (Hons) in Geology from the University of Western Australia.</w:t>
      </w:r>
    </w:p>
    <w:p>
      <w:pPr>
        <w:spacing w:after="0" w:line="177"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Erika Ilves </w:t>
      </w:r>
      <w:r>
        <w:rPr>
          <w:rFonts w:ascii="Times New Roman" w:cs="Times New Roman" w:eastAsia="Times New Roman" w:hAnsi="Times New Roman"/>
          <w:sz w:val="17"/>
          <w:szCs w:val="17"/>
          <w:color w:val="auto"/>
        </w:rPr>
        <w:t>has served as our Chief Strategy Officer since the Closing and has served as DeepGreen’s Head of Strategy and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w:t>
      </w:r>
    </w:p>
    <w:p>
      <w:pPr>
        <w:ind w:right="20"/>
        <w:spacing w:after="0" w:line="251" w:lineRule="auto"/>
        <w:rPr>
          <w:sz w:val="20"/>
          <w:szCs w:val="20"/>
          <w:color w:val="auto"/>
        </w:rPr>
      </w:pPr>
      <w:r>
        <w:rPr>
          <w:rFonts w:ascii="Times New Roman" w:cs="Times New Roman" w:eastAsia="Times New Roman" w:hAnsi="Times New Roman"/>
          <w:sz w:val="18"/>
          <w:szCs w:val="18"/>
          <w:color w:val="auto"/>
        </w:rPr>
        <w:t>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Craig Shesky </w:t>
      </w:r>
      <w:r>
        <w:rPr>
          <w:rFonts w:ascii="Times New Roman" w:cs="Times New Roman" w:eastAsia="Times New Roman" w:hAnsi="Times New Roman"/>
          <w:sz w:val="18"/>
          <w:szCs w:val="18"/>
          <w:color w:val="auto"/>
        </w:rPr>
        <w:t>has served as our Chief Financial Officer since the Closing and has served as DeepGreen’s Head of Financial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Stone, Ph.D. </w:t>
      </w:r>
      <w:r>
        <w:rPr>
          <w:rFonts w:ascii="Times New Roman" w:cs="Times New Roman" w:eastAsia="Times New Roman" w:hAnsi="Times New Roman"/>
          <w:sz w:val="18"/>
          <w:szCs w:val="18"/>
          <w:color w:val="auto"/>
        </w:rPr>
        <w:t>has served as our Chief Ocean Officer since the Closing and has served as a Director and Chief Ocean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National Geographic</w:t>
      </w:r>
      <w:r>
        <w:rPr>
          <w:rFonts w:ascii="Times New Roman" w:cs="Times New Roman" w:eastAsia="Times New Roman" w:hAnsi="Times New Roman"/>
          <w:sz w:val="18"/>
          <w:szCs w:val="18"/>
          <w:color w:val="auto"/>
        </w:rPr>
        <w:t>,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8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Christelle Gedeon, Ph.D.</w:t>
      </w:r>
      <w:r>
        <w:rPr>
          <w:rFonts w:ascii="Times New Roman" w:cs="Times New Roman" w:eastAsia="Times New Roman" w:hAnsi="Times New Roman"/>
          <w:sz w:val="18"/>
          <w:szCs w:val="18"/>
          <w:color w:val="auto"/>
        </w:rPr>
        <w:t>, has served as the Chief Legal officer since October 2021. Christelle is an established public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 having previously held a similar position in a 5-billion-dollar market cap dual-listed (Nasdaq and TSX) entity, active in more than 10 countries. She enhances the TMC management team with her expertise in navigating complex regulatory regimes, corporate governance, government relations, as well as with her deep experience in intellectual property portfolio management. Prior to joining The Metals Company, Christelle was a partner at a prominent Canadian law firm and spent several years advising life sciences clients on corporate commercial as well regulatory matters including negotiations with government agencies, securing operating licenses and internal compliance monitoring and auditing. Dr Gedeon received her LL.B/B.C.L. from McGill University and holds a Ph.D. in Clinical Pharmacology and Toxicology from the University of Toronto.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right="480"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Hall </w:t>
      </w:r>
      <w:r>
        <w:rPr>
          <w:rFonts w:ascii="Times New Roman" w:cs="Times New Roman" w:eastAsia="Times New Roman" w:hAnsi="Times New Roman"/>
          <w:sz w:val="17"/>
          <w:szCs w:val="17"/>
          <w:color w:val="auto"/>
        </w:rPr>
        <w:t>has served on our board of directors since the Closing in September 2021 and is currently the Lead Independent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Mr. Hall is an internationally experienced executive and non-executive in the renewable energy technologies and services sector. Since July 2018, Mr. Hall has served as Managing Director of Saxjo Limited, a renewable energy consultancy company.</w:t>
      </w:r>
    </w:p>
    <w:p>
      <w:pPr>
        <w:spacing w:after="0" w:line="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 &amp; Co KG, a wind turbine original equipment manufacturer.</w:t>
      </w:r>
    </w:p>
    <w:p>
      <w:pPr>
        <w:ind w:right="40"/>
        <w:spacing w:after="0" w:line="251" w:lineRule="auto"/>
        <w:rPr>
          <w:sz w:val="20"/>
          <w:szCs w:val="20"/>
          <w:color w:val="auto"/>
        </w:rPr>
      </w:pPr>
      <w:r>
        <w:rPr>
          <w:rFonts w:ascii="Times New Roman" w:cs="Times New Roman" w:eastAsia="Times New Roman" w:hAnsi="Times New Roman"/>
          <w:sz w:val="18"/>
          <w:szCs w:val="18"/>
          <w:color w:val="auto"/>
        </w:rPr>
        <w:t>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Star Windco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Madsbjerg </w:t>
      </w:r>
      <w:r>
        <w:rPr>
          <w:rFonts w:ascii="Times New Roman" w:cs="Times New Roman" w:eastAsia="Times New Roman" w:hAnsi="Times New Roman"/>
          <w:sz w:val="18"/>
          <w:szCs w:val="18"/>
          <w:color w:val="auto"/>
        </w:rPr>
        <w:t>has served on our board of directors since the Closing in September 2021. Christian currently serves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 Financial Times, The Washington Post, Der Spiegel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Bloomberg Businessweek</w:t>
      </w:r>
      <w:r>
        <w:rPr>
          <w:rFonts w:ascii="Times New Roman" w:cs="Times New Roman" w:eastAsia="Times New Roman" w:hAnsi="Times New Roman"/>
          <w:sz w:val="18"/>
          <w:szCs w:val="18"/>
          <w:color w:val="auto"/>
        </w:rPr>
        <w:t>. His latest book,</w:t>
      </w:r>
      <w:r>
        <w:rPr>
          <w:rFonts w:ascii="Times New Roman" w:cs="Times New Roman" w:eastAsia="Times New Roman" w:hAnsi="Times New Roman"/>
          <w:sz w:val="18"/>
          <w:szCs w:val="18"/>
          <w:i w:val="1"/>
          <w:iCs w:val="1"/>
          <w:color w:val="auto"/>
        </w:rPr>
        <w:t xml:space="preserve"> Sensemaking: The Power of the Humanities in the Age of the Algorithm</w:t>
      </w:r>
      <w:r>
        <w:rPr>
          <w:rFonts w:ascii="Times New Roman" w:cs="Times New Roman" w:eastAsia="Times New Roman" w:hAnsi="Times New Roman"/>
          <w:sz w:val="18"/>
          <w:szCs w:val="18"/>
          <w:color w:val="auto"/>
        </w:rPr>
        <w:t>, was published in the spring of 2017 by Hachette Book Group. His book</w:t>
      </w:r>
      <w:r>
        <w:rPr>
          <w:rFonts w:ascii="Times New Roman" w:cs="Times New Roman" w:eastAsia="Times New Roman" w:hAnsi="Times New Roman"/>
          <w:sz w:val="18"/>
          <w:szCs w:val="18"/>
          <w:i w:val="1"/>
          <w:iCs w:val="1"/>
          <w:color w:val="auto"/>
        </w:rPr>
        <w:t xml:space="preserve"> The Moment of Clarity</w:t>
      </w:r>
      <w:r>
        <w:rPr>
          <w:rFonts w:ascii="Times New Roman" w:cs="Times New Roman" w:eastAsia="Times New Roman" w:hAnsi="Times New Roman"/>
          <w:sz w:val="18"/>
          <w:szCs w:val="18"/>
          <w:color w:val="auto"/>
        </w:rPr>
        <w:t>, co-written with ReD partner Mikkel B. Rasmussen, was published by Harvard Business Press in the fall of 2014. He studied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8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Sheila Khama </w:t>
      </w:r>
      <w:r>
        <w:rPr>
          <w:rFonts w:ascii="Times New Roman" w:cs="Times New Roman" w:eastAsia="Times New Roman" w:hAnsi="Times New Roman"/>
          <w:sz w:val="18"/>
          <w:szCs w:val="18"/>
          <w:color w:val="auto"/>
        </w:rPr>
        <w:t>has served on our board of directors since the Closing in September 2021. Ms. Khama is a consultant, policy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Andrei Karkar </w:t>
      </w:r>
      <w:r>
        <w:rPr>
          <w:rFonts w:ascii="Times New Roman" w:cs="Times New Roman" w:eastAsia="Times New Roman" w:hAnsi="Times New Roman"/>
          <w:sz w:val="18"/>
          <w:szCs w:val="18"/>
          <w:color w:val="auto"/>
        </w:rPr>
        <w:t>has served on our board of directors since the Closing in September 2021 and served as a director of DeepGreen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2019. Andrei currently serves as 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Amelia Kinahoi Siamomua </w:t>
      </w:r>
      <w:r>
        <w:rPr>
          <w:rFonts w:ascii="Times New Roman" w:cs="Times New Roman" w:eastAsia="Times New Roman" w:hAnsi="Times New Roman"/>
          <w:sz w:val="18"/>
          <w:szCs w:val="18"/>
          <w:color w:val="auto"/>
        </w:rPr>
        <w:t>has served on our board of directors since the Closing in September 2021. Ms. Siamomua has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 years of experience as a development economist and an international civil servant with a strong focus on gender equality and sustainability issues. Since March 2021, Ms. Siamomua has been an independent consultant on gender and social inclusion for Cardno International Development to provide technical assistance to the Government of Nauru and for UNDP to provide technical assistance for Tonga’s Coastal Resilience Project. From June 2015 until February 2021, Ms. Siamomua served as Head of Gender, in the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in New York,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and prior to this, she had served with the Asian Development Bank, Pacific Community and Pacific Forum. Ms. Siamomua has earned a B.A. in Economics and Politics and post graduate executive studies on business administration, leadership and development from the University of the South Pacific in Fiji and the Kennedy School of Government, Harvard University. Ms. Siamomua’s qualifications to serve on the board of directors include her sustainable development expertise and her extensive knowledge of economic and social policies of small island developing states, multilateralism and inter-governmental processes of the Asia-Pacific, the UN and the Commonwealth.</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Gina Stryker </w:t>
      </w:r>
      <w:r>
        <w:rPr>
          <w:rFonts w:ascii="Times New Roman" w:cs="Times New Roman" w:eastAsia="Times New Roman" w:hAnsi="Times New Roman"/>
          <w:sz w:val="18"/>
          <w:szCs w:val="18"/>
          <w:color w:val="auto"/>
        </w:rPr>
        <w:t>has served on our board of directors since the Closing in September 2021. Ms. Stryker has 20 years of tax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include her prior experience advising on tax and business strategy in the energy industry.</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Kathleen McAllister </w:t>
      </w:r>
      <w:r>
        <w:rPr>
          <w:rFonts w:ascii="Times New Roman" w:cs="Times New Roman" w:eastAsia="Times New Roman" w:hAnsi="Times New Roman"/>
          <w:sz w:val="18"/>
          <w:szCs w:val="18"/>
          <w:color w:val="auto"/>
        </w:rPr>
        <w:t>has served on the board of directors since February 9, 2022. Ms. McAllister currently serves as the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Ms. McAllister is a Certified Public Accountant (CPA) and former President and CEO and CFO of Transocean Partners LLC. Ms. McAllister brings a broad range of strategic perspective to the complex challenges of operating cyclical businesses and raising capital and corporate governance in the global marketplace. She currently serves as an independent director for Black Hills Corporation and Hoegh LNG Partners LP. She serves on the Audit Committee of both companies and on the Hoegh LNG Partners Conflict Committee. Previously, Ms. McAllister served on the board of Maersk Drilling and chaired the Audit and Risk Committee. Ms. McAllister’s qualifications to serve on the board of directors includes her broad experience in global business operations, capital raising and allocation, business transformation, risk oversight, SEC reporting, mergers and acquisitions, internal controls, tax, treasury and talent development.</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as such term is defined in Item 401(d) of Regulation S-K, between or among any of our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is declassified, and the directors will be elected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Gina Stryker, Sheila Khama, Christian Madsbjerg, Amelia Kinahoi Siamomua, Andrei Karkar and Kathleen McAllister, representing seven (7) of the Company’s eight</w:t>
      </w:r>
    </w:p>
    <w:p>
      <w:pPr>
        <w:spacing w:after="0" w:line="3" w:lineRule="exact"/>
        <w:rPr>
          <w:sz w:val="20"/>
          <w:szCs w:val="20"/>
          <w:color w:val="auto"/>
        </w:rPr>
      </w:pPr>
    </w:p>
    <w:p>
      <w:pPr>
        <w:ind w:right="60" w:firstLine="8"/>
        <w:spacing w:after="0" w:line="260"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are “independent” as that term is defined under the applicable rules and regulations of the SEC and the listing requirements and rules of the Nasdaq. Andrew Hall serves as the Lead Independent Director of the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consists of Kathleen McAllister, who serves as the chairperson, Andrew Hall and Gina Stryker. Each member of the audit committee qualifies as an independent director under the Nasdaq Listing Rules and the independence requirements of Rule 10A-3 under the Exchange Act.</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Ms. McAllister qualifies as an “audit committee financial expert”, as such term is defined in Item 407(d)(5) of Regulation S-K and possesses financial sophistication, as defined under the rules of Nasdaq.</w:t>
      </w:r>
    </w:p>
    <w:p>
      <w:pPr>
        <w:spacing w:after="0" w:line="162"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audit committee is to prepare the audit committee report required by the SEC to be included in our proxy statement and to assist the board of directors in overseeing and monitoring (1) the quality and integrity of the financial statements,</w:t>
      </w:r>
    </w:p>
    <w:p>
      <w:pPr>
        <w:ind w:right="20" w:firstLine="8"/>
        <w:spacing w:after="0" w:line="255"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8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audit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consists of Andrei Karkar, who serves as the chairperson, Sheila Khama and Gina Stryker.</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w:t>
      </w:r>
    </w:p>
    <w:p>
      <w:pPr>
        <w:ind w:right="60"/>
        <w:spacing w:after="0" w:line="260" w:lineRule="auto"/>
        <w:rPr>
          <w:sz w:val="20"/>
          <w:szCs w:val="20"/>
          <w:color w:val="auto"/>
        </w:rPr>
      </w:pPr>
      <w:r>
        <w:rPr>
          <w:rFonts w:ascii="Times New Roman" w:cs="Times New Roman" w:eastAsia="Times New Roman" w:hAnsi="Times New Roman"/>
          <w:sz w:val="18"/>
          <w:szCs w:val="18"/>
          <w:color w:val="auto"/>
        </w:rPr>
        <w:t>based compensation plans and (3) preparing the compensation committee report required to be included in our proxy statement under the rules and regulations of the SEC.</w:t>
      </w:r>
    </w:p>
    <w:p>
      <w:pPr>
        <w:spacing w:after="0" w:line="1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compensation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nominating and corporate governance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Innovation Committee</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sustainability and innovation committee consists of Sheila Khama, who serves as the chairperson, Christian Madsbjerg and Amelia Kinahoi Siamomua.</w:t>
      </w:r>
    </w:p>
    <w:p>
      <w:pPr>
        <w:spacing w:after="0" w:line="162"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8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have adopted a written charter for the sustainability and innovation committee, which is available on the Company’s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principal financial officer and principal accounting officer, which is available on our website</w:t>
      </w:r>
    </w:p>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 Our code of business conduct is a “code of ethics,” as defined in Item 406(b) of Regulation S-K.</w:t>
      </w:r>
    </w:p>
    <w:p>
      <w:pPr>
        <w:spacing w:after="0" w:line="1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xml:space="preserve"> under Investors — Governance — Governance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SOAC</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None of SOAC’s executive officers or directors received any cash compensation for services rendered to SOAC. SOAC agreed to pay an affiliate of the Sponsor a total of $10,000 per month, for up to 18 months, for office space, secretarial and administrative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DeepGreen and TMC</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2021. As of December 31, 2021, our NEOs were:</w:t>
      </w:r>
    </w:p>
    <w:p>
      <w:pPr>
        <w:spacing w:after="0" w:line="187"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Gerard Barron, Chief Executive Officer;</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O’Sullivan, Chief Development Officer;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Erika Ilves, Chief Strategy Officer</w:t>
      </w:r>
    </w:p>
    <w:p>
      <w:pPr>
        <w:spacing w:after="0" w:line="9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2021, our compensation program consisted of two components: (1) compensation for services related to DeepGreen prior to the Business Combination and (2) compensation for services related to us after the Business Combination.</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Prior to September 9, 2021, DeepGreen’s compensation program included base salaries, annual cash bonus, and stock option grants. The options granted on March 4, 2021 were awarded in lieu of cash bonuses to retain DeepGreen employees in furtherance of the Business Combination. The DeepGreen board had the sole discretion to award these options and exercised its discretion to do so, as it had not consistently awarded cash bonuses to its employees, despite multiple years of service. Some of the options were granted subject to the achievement of significant long-term performance goals of DeepGreen and remain unvested.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2021), and a Long-Tterm Incentive Program (granted in the form of restricted share units grants for 2021).</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post Business Combination (the “Compensation Committee”),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189" w:lineRule="exact"/>
        <w:rPr>
          <w:sz w:val="20"/>
          <w:szCs w:val="20"/>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shareholder value by aligning the financial interests of our named executive officers with those of our shareholders;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attract, motivate and retain the people needed to define and lead our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closely with the achievement of our business and performance objectives;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individual performance that contributes to our short-term and long-term success.</w:t>
      </w:r>
    </w:p>
    <w:p>
      <w:pPr>
        <w:spacing w:after="0" w:line="22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utilized and relied significantly on a competitive market analysis when determining the size, components and mix of our named executive officers’ compensation packages.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Named Executive Officers’ target annual compensation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2021 Compensation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 w:type="dxa"/>
            <w:vAlign w:val="bottom"/>
            <w:tcBorders>
              <w:right w:val="single" w:sz="8" w:color="auto"/>
            </w:tcBorders>
          </w:tcPr>
          <w:p>
            <w:pPr>
              <w:spacing w:after="0"/>
              <w:rPr>
                <w:sz w:val="19"/>
                <w:szCs w:val="19"/>
                <w:color w:val="auto"/>
              </w:rPr>
            </w:pPr>
          </w:p>
        </w:tc>
        <w:tc>
          <w:tcPr>
            <w:tcW w:w="206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174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Primary Purpose</w:t>
            </w:r>
          </w:p>
        </w:tc>
        <w:tc>
          <w:tcPr>
            <w:tcW w:w="1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96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Details</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39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Cash Compensation</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Reward for ongoing</w:t>
            </w:r>
          </w:p>
        </w:tc>
        <w:tc>
          <w:tcPr>
            <w:tcW w:w="12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 performed,</w:t>
            </w: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Ongoing</w:t>
            </w:r>
          </w:p>
        </w:tc>
        <w:tc>
          <w:tcPr>
            <w:tcW w:w="2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Provided in cash each pay period.</w:t>
            </w: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tenure and</w:t>
            </w:r>
          </w:p>
        </w:tc>
        <w:tc>
          <w:tcPr>
            <w:tcW w:w="1260" w:type="dxa"/>
            <w:vAlign w:val="bottom"/>
            <w:tcBorders>
              <w:right w:val="single" w:sz="8" w:color="auto"/>
            </w:tcBorders>
            <w:vMerge w:val="continue"/>
          </w:tcPr>
          <w:p>
            <w:pPr>
              <w:spacing w:after="0"/>
              <w:rPr>
                <w:sz w:val="10"/>
                <w:szCs w:val="10"/>
                <w:color w:val="auto"/>
              </w:rPr>
            </w:pPr>
          </w:p>
        </w:tc>
        <w:tc>
          <w:tcPr>
            <w:tcW w:w="262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role</w:t>
            </w:r>
          </w:p>
        </w:tc>
        <w:tc>
          <w:tcPr>
            <w:tcW w:w="12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Short Term Incentive Plan</w:t>
            </w:r>
          </w:p>
        </w:tc>
        <w:tc>
          <w:tcPr>
            <w:tcW w:w="17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2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1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short-term priorities</w:t>
            </w:r>
          </w:p>
        </w:tc>
        <w:tc>
          <w:tcPr>
            <w:tcW w:w="12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1 year</w:t>
            </w:r>
          </w:p>
        </w:tc>
        <w:tc>
          <w:tcPr>
            <w:tcW w:w="3680" w:type="dxa"/>
            <w:vAlign w:val="bottom"/>
            <w:tcBorders>
              <w:right w:val="single" w:sz="8" w:color="auto"/>
            </w:tcBorders>
            <w:gridSpan w:val="6"/>
          </w:tcPr>
          <w:p>
            <w:pPr>
              <w:spacing w:after="0" w:line="181" w:lineRule="exact"/>
              <w:rPr>
                <w:sz w:val="20"/>
                <w:szCs w:val="20"/>
                <w:color w:val="auto"/>
              </w:rPr>
            </w:pPr>
            <w:r>
              <w:rPr>
                <w:rFonts w:ascii="Times New Roman" w:cs="Times New Roman" w:eastAsia="Times New Roman" w:hAnsi="Times New Roman"/>
                <w:sz w:val="18"/>
                <w:szCs w:val="18"/>
                <w:color w:val="auto"/>
              </w:rPr>
              <w:t>Target award based on a percentage of salary.</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(STIP)</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and business results</w:t>
            </w:r>
          </w:p>
        </w:tc>
        <w:tc>
          <w:tcPr>
            <w:tcW w:w="12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right w:val="single" w:sz="8" w:color="auto"/>
            </w:tcBorders>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3680" w:type="dxa"/>
            <w:vAlign w:val="bottom"/>
            <w:tcBorders>
              <w:bottom w:val="single" w:sz="8" w:color="auto"/>
              <w:right w:val="single" w:sz="8" w:color="auto"/>
            </w:tcBorders>
            <w:gridSpan w:val="6"/>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gridSpan w:val="6"/>
          </w:tcPr>
          <w:p>
            <w:pPr>
              <w:spacing w:after="0" w:line="205" w:lineRule="exact"/>
              <w:rPr>
                <w:sz w:val="20"/>
                <w:szCs w:val="20"/>
                <w:color w:val="auto"/>
              </w:rPr>
            </w:pPr>
            <w:r>
              <w:rPr>
                <w:rFonts w:ascii="Times New Roman" w:cs="Times New Roman" w:eastAsia="Times New Roman" w:hAnsi="Times New Roman"/>
                <w:sz w:val="18"/>
                <w:szCs w:val="18"/>
                <w:color w:val="auto"/>
              </w:rPr>
              <w:t>Awards may be earned from 0% to 100% of target</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Recognize and reward</w:t>
            </w: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based on achievement of pre-determined corporate</w:t>
            </w:r>
          </w:p>
        </w:tc>
        <w:tc>
          <w:tcPr>
            <w:tcW w:w="0" w:type="dxa"/>
            <w:vAlign w:val="bottom"/>
          </w:tcPr>
          <w:p>
            <w:pPr>
              <w:spacing w:after="0"/>
              <w:rPr>
                <w:sz w:val="1"/>
                <w:szCs w:val="1"/>
                <w:color w:val="auto"/>
              </w:rPr>
            </w:pPr>
          </w:p>
        </w:tc>
      </w:tr>
      <w:tr>
        <w:trPr>
          <w:trHeight w:val="149"/>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short-term objectives that are aligned with our</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and</w:t>
            </w:r>
          </w:p>
        </w:tc>
        <w:tc>
          <w:tcPr>
            <w:tcW w:w="126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strategic plan as well as individual performance.</w:t>
            </w: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individual</w:t>
            </w:r>
          </w:p>
        </w:tc>
        <w:tc>
          <w:tcPr>
            <w:tcW w:w="126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Awards are paid in cash upon the completion of</w:t>
            </w: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w:t>
            </w:r>
          </w:p>
        </w:tc>
        <w:tc>
          <w:tcPr>
            <w:tcW w:w="1260" w:type="dxa"/>
            <w:vAlign w:val="bottom"/>
            <w:tcBorders>
              <w:right w:val="single" w:sz="8" w:color="auto"/>
            </w:tcBorders>
          </w:tcPr>
          <w:p>
            <w:pPr>
              <w:spacing w:after="0"/>
              <w:rPr>
                <w:sz w:val="12"/>
                <w:szCs w:val="12"/>
                <w:color w:val="auto"/>
              </w:rPr>
            </w:pPr>
          </w:p>
        </w:tc>
        <w:tc>
          <w:tcPr>
            <w:tcW w:w="3680" w:type="dxa"/>
            <w:vAlign w:val="bottom"/>
            <w:tcBorders>
              <w:right w:val="single" w:sz="8" w:color="auto"/>
            </w:tcBorders>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the fiscal year; however, for 2021, STIP awards</w:t>
            </w: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were paid in immediately-vested RSUs.</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20" w:type="dxa"/>
            <w:vAlign w:val="bottom"/>
            <w:tcBorders>
              <w:righ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396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62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80" w:type="dxa"/>
            <w:vAlign w:val="bottom"/>
            <w:tcBorders>
              <w:bottom w:val="single" w:sz="8" w:color="auto"/>
              <w:right w:val="single" w:sz="8" w:color="auto"/>
            </w:tcBorders>
            <w:gridSpan w:val="6"/>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gridSpan w:val="6"/>
          </w:tcPr>
          <w:p>
            <w:pPr>
              <w:spacing w:after="0" w:line="205" w:lineRule="exact"/>
              <w:rPr>
                <w:sz w:val="20"/>
                <w:szCs w:val="20"/>
                <w:color w:val="auto"/>
              </w:rPr>
            </w:pPr>
            <w:r>
              <w:rPr>
                <w:rFonts w:ascii="Times New Roman" w:cs="Times New Roman" w:eastAsia="Times New Roman" w:hAnsi="Times New Roman"/>
                <w:sz w:val="18"/>
                <w:szCs w:val="18"/>
                <w:color w:val="auto"/>
              </w:rPr>
              <w:t>Grants post-Business Combination were in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Reinforce and drive</w:t>
            </w: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form of RSUs that generally vest one-third per</w:t>
            </w:r>
          </w:p>
        </w:tc>
        <w:tc>
          <w:tcPr>
            <w:tcW w:w="0" w:type="dxa"/>
            <w:vAlign w:val="bottom"/>
          </w:tcPr>
          <w:p>
            <w:pPr>
              <w:spacing w:after="0"/>
              <w:rPr>
                <w:sz w:val="1"/>
                <w:szCs w:val="1"/>
                <w:color w:val="auto"/>
              </w:rPr>
            </w:pPr>
          </w:p>
        </w:tc>
      </w:tr>
      <w:tr>
        <w:trPr>
          <w:trHeight w:val="189"/>
        </w:trPr>
        <w:tc>
          <w:tcPr>
            <w:tcW w:w="6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color w:val="auto"/>
              </w:rPr>
              <w:t>year over three years or in fourths over four years.</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shareholder</w:t>
            </w:r>
          </w:p>
        </w:tc>
        <w:tc>
          <w:tcPr>
            <w:tcW w:w="126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260" w:type="dxa"/>
            <w:vAlign w:val="bottom"/>
            <w:tcBorders>
              <w:right w:val="single" w:sz="8" w:color="auto"/>
            </w:tcBorders>
          </w:tcPr>
          <w:p>
            <w:pPr>
              <w:spacing w:after="0"/>
              <w:rPr>
                <w:sz w:val="21"/>
                <w:szCs w:val="21"/>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Grants made by DeepGreen prior to the Business</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Retain executives over</w:t>
            </w:r>
          </w:p>
        </w:tc>
        <w:tc>
          <w:tcPr>
            <w:tcW w:w="126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Combination  related  to  service  prior  to  the</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incentives</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multi-year period</w:t>
            </w:r>
          </w:p>
        </w:tc>
        <w:tc>
          <w:tcPr>
            <w:tcW w:w="12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3 or 4 years</w:t>
            </w: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Business Combination were in the form of stock</w:t>
            </w: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(LTIP)</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Incentivize the</w:t>
            </w:r>
          </w:p>
        </w:tc>
        <w:tc>
          <w:tcPr>
            <w:tcW w:w="1260" w:type="dxa"/>
            <w:vAlign w:val="bottom"/>
            <w:tcBorders>
              <w:right w:val="single" w:sz="8" w:color="auto"/>
            </w:tcBorders>
            <w:vMerge w:val="continue"/>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options that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vest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based</w:t>
            </w:r>
          </w:p>
        </w:tc>
        <w:tc>
          <w:tcPr>
            <w:tcW w:w="10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on continued</w:t>
            </w:r>
          </w:p>
        </w:tc>
        <w:tc>
          <w:tcPr>
            <w:tcW w:w="0" w:type="dxa"/>
            <w:vAlign w:val="bottom"/>
          </w:tcPr>
          <w:p>
            <w:pPr>
              <w:spacing w:after="0"/>
              <w:rPr>
                <w:sz w:val="1"/>
                <w:szCs w:val="1"/>
                <w:color w:val="auto"/>
              </w:rPr>
            </w:pPr>
          </w:p>
        </w:tc>
      </w:tr>
      <w:tr>
        <w:trPr>
          <w:trHeight w:val="130"/>
        </w:trPr>
        <w:tc>
          <w:tcPr>
            <w:tcW w:w="6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gridSpan w:val="6"/>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employment as well as upon the achievement of</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achievement by</w:t>
            </w:r>
          </w:p>
        </w:tc>
        <w:tc>
          <w:tcPr>
            <w:tcW w:w="126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performance</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2"/>
              </w:rPr>
              <w:t>and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4"/>
              </w:rPr>
              <w:t>goals.</w:t>
            </w:r>
          </w:p>
        </w:tc>
        <w:tc>
          <w:tcPr>
            <w:tcW w:w="106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Time-based</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management of multi-</w:t>
            </w:r>
          </w:p>
        </w:tc>
        <w:tc>
          <w:tcPr>
            <w:tcW w:w="126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0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one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third per</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year</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over 3</w:t>
            </w:r>
          </w:p>
        </w:tc>
        <w:tc>
          <w:tcPr>
            <w:tcW w:w="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performance</w:t>
            </w:r>
          </w:p>
        </w:tc>
        <w:tc>
          <w:tcPr>
            <w:tcW w:w="126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3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beginning from an individual’s start date,</w:t>
            </w:r>
          </w:p>
        </w:tc>
        <w:tc>
          <w:tcPr>
            <w:tcW w:w="4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while</w:t>
            </w:r>
          </w:p>
        </w:tc>
        <w:tc>
          <w:tcPr>
            <w:tcW w:w="0" w:type="dxa"/>
            <w:vAlign w:val="bottom"/>
          </w:tcPr>
          <w:p>
            <w:pPr>
              <w:spacing w:after="0"/>
              <w:rPr>
                <w:sz w:val="1"/>
                <w:szCs w:val="1"/>
                <w:color w:val="auto"/>
              </w:rPr>
            </w:pPr>
          </w:p>
        </w:tc>
      </w:tr>
      <w:tr>
        <w:trPr>
          <w:trHeight w:val="68"/>
        </w:trPr>
        <w:tc>
          <w:tcPr>
            <w:tcW w:w="6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goals</w:t>
            </w:r>
          </w:p>
        </w:tc>
        <w:tc>
          <w:tcPr>
            <w:tcW w:w="1260" w:type="dxa"/>
            <w:vAlign w:val="bottom"/>
            <w:tcBorders>
              <w:right w:val="single" w:sz="8" w:color="auto"/>
            </w:tcBorders>
          </w:tcPr>
          <w:p>
            <w:pPr>
              <w:spacing w:after="0"/>
              <w:rPr>
                <w:sz w:val="5"/>
                <w:szCs w:val="5"/>
                <w:color w:val="auto"/>
              </w:rPr>
            </w:pPr>
          </w:p>
        </w:tc>
        <w:tc>
          <w:tcPr>
            <w:tcW w:w="3200" w:type="dxa"/>
            <w:vAlign w:val="bottom"/>
            <w:gridSpan w:val="5"/>
            <w:vMerge w:val="continue"/>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performance-based  options  vest  based  on  the</w:t>
            </w:r>
          </w:p>
        </w:tc>
        <w:tc>
          <w:tcPr>
            <w:tcW w:w="0" w:type="dxa"/>
            <w:vAlign w:val="bottom"/>
          </w:tcPr>
          <w:p>
            <w:pPr>
              <w:spacing w:after="0"/>
              <w:rPr>
                <w:sz w:val="1"/>
                <w:szCs w:val="1"/>
                <w:color w:val="auto"/>
              </w:rPr>
            </w:pPr>
          </w:p>
        </w:tc>
      </w:tr>
      <w:tr>
        <w:trPr>
          <w:trHeight w:val="49"/>
        </w:trPr>
        <w:tc>
          <w:tcPr>
            <w:tcW w:w="620" w:type="dxa"/>
            <w:vAlign w:val="bottom"/>
            <w:tcBorders>
              <w:right w:val="single" w:sz="8" w:color="auto"/>
            </w:tcBorders>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achievement of four pre-established goals within a</w:t>
            </w:r>
          </w:p>
        </w:tc>
        <w:tc>
          <w:tcPr>
            <w:tcW w:w="0" w:type="dxa"/>
            <w:vAlign w:val="bottom"/>
          </w:tcPr>
          <w:p>
            <w:pPr>
              <w:spacing w:after="0"/>
              <w:rPr>
                <w:sz w:val="1"/>
                <w:szCs w:val="1"/>
                <w:color w:val="auto"/>
              </w:rPr>
            </w:pPr>
          </w:p>
        </w:tc>
      </w:tr>
      <w:tr>
        <w:trPr>
          <w:trHeight w:val="234"/>
        </w:trPr>
        <w:tc>
          <w:tcPr>
            <w:tcW w:w="620" w:type="dxa"/>
            <w:vAlign w:val="bottom"/>
            <w:tcBorders>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7-year performance period.</w:t>
            </w: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determines the size of equity award grants after considering the following factors:</w:t>
      </w:r>
    </w:p>
    <w:p>
      <w:pPr>
        <w:spacing w:after="0" w:line="225"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equity compensation practices for comparable positions identified in the applicable market analysis;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level of responsibility and duties;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to grant levels of other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named executive officers’ performance;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performance;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equity compensation costs relative to total expenses.</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does not take into consideration an executive’s aggregate equity holdings or equity carrying value in determining annual long-term equity incentive awards.</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2021, the DeepGreen board prior to the Business Combination and our Compensation Committee approved the grant of equity awards to our Named Executive Officers. They considered, to the extent applicable, our corporate performance and individual contributions in 2021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 DeepGreen board on March 4, 2021 and were valued on that date using a Black-Scholes valuation model, which ascribed a fair value between $5.42 and $5.59 per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concerning the annual compensation for services provided to us by our NEOs for the fiscal year ended December 31,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right"/>
              <w:ind w:right="118"/>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14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296,625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10,833,401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565,000</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4,539,262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4,778,763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Strategy Officer</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395,000</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5684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2" w:lineRule="exact"/>
        <w:rPr>
          <w:sz w:val="20"/>
          <w:szCs w:val="20"/>
          <w:color w:val="auto"/>
        </w:rPr>
      </w:pPr>
    </w:p>
    <w:p>
      <w:pPr>
        <w:ind w:left="440" w:right="60" w:hanging="432"/>
        <w:spacing w:after="0" w:line="256" w:lineRule="auto"/>
        <w:tabs>
          <w:tab w:leader="none" w:pos="4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For the year ended December 31, 2021, the Company awarded an annual STIP bonus at 70% of target in the form of RSUs. The number of RSUs granted is 180,869 units for Gerard Barron, 101,372 units for Anthony O’Sullivan, and 84,299 units for Erika Ilves. The RSUs were granted on February 9, 2022 and were fully vested upon the grant date (at a fair value per RSU of $1.64).</w:t>
      </w:r>
    </w:p>
    <w:p>
      <w:pPr>
        <w:spacing w:after="0" w:line="2" w:lineRule="exact"/>
        <w:rPr>
          <w:rFonts w:ascii="Times New Roman" w:cs="Times New Roman" w:eastAsia="Times New Roman" w:hAnsi="Times New Roman"/>
          <w:sz w:val="18"/>
          <w:szCs w:val="18"/>
          <w:color w:val="auto"/>
        </w:rPr>
      </w:pPr>
    </w:p>
    <w:p>
      <w:pPr>
        <w:ind w:left="440" w:right="320" w:hanging="432"/>
        <w:spacing w:after="0" w:line="264" w:lineRule="auto"/>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 awards consists of RSUs granted during the year ended December 31, 2021. The grant date fair value is computed based on the closing market price on the date of grant in accordance with FASB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(“ASC 718”).</w:t>
      </w:r>
    </w:p>
    <w:p>
      <w:pPr>
        <w:ind w:left="440" w:right="120" w:hanging="432"/>
        <w:spacing w:after="0" w:line="264" w:lineRule="auto"/>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represents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$15,954,495 for Gerard Barron, $6,815,302 for Anthony O’Sullivan, and $7,054,804 for Erika Ilves. Additional information can be found in Note 16 to the audited consolidated financial statements for the year ended December 31, 2021 included elsewhere in this prospectus.</w:t>
      </w:r>
    </w:p>
    <w:p>
      <w:pPr>
        <w:ind w:left="440" w:hanging="432"/>
        <w:spacing w:after="0"/>
        <w:tabs>
          <w:tab w:leader="none" w:pos="4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Australian superannuation contributions made by TMC/DeepGreen during the years 2021 and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held by the NEOs as of December 31, 2021.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 not</w:t>
            </w:r>
          </w:p>
        </w:tc>
      </w:tr>
      <w:tr>
        <w:trPr>
          <w:trHeight w:val="208"/>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4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00" w:type="dxa"/>
            <w:vAlign w:val="bottom"/>
          </w:tcPr>
          <w:p>
            <w:pPr>
              <w:jc w:val="center"/>
              <w:spacing w:after="0" w:line="24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6"/>
                <w:szCs w:val="26"/>
                <w:b w:val="1"/>
                <w:bCs w:val="1"/>
                <w:color w:val="auto"/>
                <w:w w:val="87"/>
                <w:vertAlign w:val="superscript"/>
              </w:rPr>
              <w:t>(1)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Pr>
          <w:p>
            <w:pPr>
              <w:jc w:val="center"/>
              <w:spacing w:after="0" w:line="246"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6"/>
                <w:szCs w:val="26"/>
                <w:b w:val="1"/>
                <w:bCs w:val="1"/>
                <w:color w:val="auto"/>
                <w:w w:val="87"/>
                <w:vertAlign w:val="superscript"/>
              </w:rPr>
              <w:t>(2)</w:t>
            </w:r>
          </w:p>
        </w:tc>
        <w:tc>
          <w:tcPr>
            <w:tcW w:w="180" w:type="dxa"/>
            <w:vAlign w:val="bottom"/>
          </w:tcPr>
          <w:p>
            <w:pPr>
              <w:spacing w:after="0"/>
              <w:rPr>
                <w:sz w:val="21"/>
                <w:szCs w:val="21"/>
                <w:color w:val="auto"/>
              </w:rPr>
            </w:pPr>
          </w:p>
        </w:tc>
        <w:tc>
          <w:tcPr>
            <w:tcW w:w="1060" w:type="dxa"/>
            <w:vAlign w:val="bottom"/>
          </w:tcPr>
          <w:p>
            <w:pPr>
              <w:jc w:val="center"/>
              <w:spacing w:after="0" w:line="246"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6"/>
                <w:szCs w:val="26"/>
                <w:b w:val="1"/>
                <w:bCs w:val="1"/>
                <w:color w:val="auto"/>
                <w:w w:val="92"/>
                <w:vertAlign w:val="superscript"/>
              </w:rPr>
              <w:t>(3)</w:t>
            </w:r>
          </w:p>
        </w:tc>
      </w:tr>
      <w:tr>
        <w:trPr>
          <w:trHeight w:val="209"/>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3,473,586</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604,458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O’Sullivan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05/16/2019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466,965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Erika Ilves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09/01/2018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262,109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06/01/2028</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11/22/2021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r>
    </w:tbl>
    <w:p>
      <w:pPr>
        <w:spacing w:after="0" w:line="202" w:lineRule="exact"/>
        <w:rPr>
          <w:sz w:val="20"/>
          <w:szCs w:val="20"/>
          <w:color w:val="auto"/>
        </w:rPr>
      </w:pPr>
    </w:p>
    <w:p>
      <w:pPr>
        <w:ind w:left="760" w:right="120" w:hanging="428"/>
        <w:spacing w:after="0" w:line="275" w:lineRule="auto"/>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34"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consists of RSUs that were granted on November 22, 2021 and vest one third on each anniversary of the grant date.</w:t>
      </w:r>
    </w:p>
    <w:p>
      <w:pPr>
        <w:spacing w:after="0" w:line="86"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of shares based on TMC’s closing market share price at December 31, 2021.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DeepGreen entered into an employment agreement with Mr. Gerard Barron on January 1, 2018, an employment agreement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Anthony O’Sullivan on July 25, 2017, and an employment agreement with Ms. Erika Ilves on September 1, 2018, each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their services as executive officers with DeepGreen, the material terms of which are described below. In addition, each NEO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non-competition, non-solicitation and non-interference covenants that apply during the term of employment and for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as well as assignment of intellectual property and confidentiality obligations, each as set forth in his or her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Mr. Barron began his current position as DeepGreen’s Chief Executive Officer in January 2018. Mr. O’Sullivan began his current position as DeepGreen’s Chief Development Officer in July 2017. Ms. Ilves began her current position as Head of Strategy and Business Development in September 2018 and continues as our Chief Strategy Officer.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Gerard Barron</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As DeepGreen’s Chief Executive Officer, Mr. Barron is eligible to participate in DeepGreen’s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Pursuant to the Barron Employment Agreement, Mr. Barron also received an option grant for 3,473,586 shares of DeepGreen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w:t>
      </w:r>
    </w:p>
    <w:p>
      <w:pPr>
        <w:spacing w:after="0" w:line="3" w:lineRule="exact"/>
        <w:rPr>
          <w:sz w:val="20"/>
          <w:szCs w:val="20"/>
          <w:color w:val="auto"/>
        </w:rPr>
      </w:pPr>
    </w:p>
    <w:p>
      <w:pPr>
        <w:ind w:right="20" w:firstLine="8"/>
        <w:spacing w:after="0" w:line="251"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578,931 options would be issued as part of Mr. Barron’s board of directors remuneration, with 50% of such shares vesting as of the grant date and 50% of such shares vesting as of January 1, 2019.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O’Sullivan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DeepGreen’s subsidiary, The Metals Company Australia Pty. Ltd. entered into an amended and restated employment agreement on May 8, 2022 with Mr. O’Sullivan, who is continuing in his role as DeepGreen’s Chief Development Officer (the “O’Sullivan Employment Agreement”). The O’Sullivan Employment Agreement amended and restated the employment agreement previously entered into between DeepGreen and Mr. O’Sullivan on July 25, 2017. Pursuant to the terms of the O’Sullivan Employment Agreement, Mr. O’Sullivan’s annual base salary was equal to AUD$670,985 ($475,000), less applicable deductions (including Australian Pay As You Go withholding tax or such other withholding tax applicable to the jurisdiction in which Mr. O’Sullivan resides at the time). Mr. O’Sullivan current annual base salary is $475,000. DeepGreen agreed to review the annual base salary on a year-to-year basis in accordance with the terms of the agreement. Mr. O’Sullivan is eligible to participate in DeepGreen’s employee benefit plans, short-term incentive plan and the long-term incentive plan. In connection with his initial hiring on July 25, 2017, Mr. O’Sullivan was granted certain stock options pursuant to the DeepGreen Plan. Subject to the terms and conditions set forth by that certain stock option agreement, made effective July 23, 2018, by and between DeepGreen and Mr. O’Sullivan (the “Sullivan Stock Option Agreement”), Mr. O’Sullivan was granted 2,026,258 common shares at an exercise price of $0.65 per share, subject to (i) thirty-four percent (34%) of the shares vesting as of the grant date, (ii) thirty-three percent (33%) of the shares vesting on June 1, 2019, and (iii) thirty-three percent (33%) of the shares vesting on June 1, 2020, provided that Mr. O’Sullivan remains an employee of DeepGreen on such dates. The vested options are set to expire on June 1, 2028, under the vesting and expiration conditions of the Sullivan Stock Option Agreement. In the event that Mr. O’Sullivan’s employment is terminated, then any unvested options will expire on the Termination Date. If Mr. O’Sullivan’s employment is terminated without “Cause” (as defined in the O’Sullivan Employment Agreement) or if Mr. O’Sullivan resigns for “Good Reason” (as defined in the O’Sullivan Employment Agreement), Mr. O’Sullivan will receive (a) a payment equal to a pro-rata portion of the annual performance incentive bonus targeted at 50% of Mr. O’Sullivan’s annual base salary (the “O’Sullivan Employment Bonus”); (b) subject to the approval of the board of directors, an extension of the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expiry up to 12 months from the termination date of options that vest based on the achievement of certain company-based milestones; and (c) continued payment of the premiums required to maintain Mr. O’Sullivan’s participation in the benefits plans in which he participates for the minimum period required by applicable law. If Mr. O’Sullivan’s employment is terminated without “Cause” or if Mr. O’Sullivan resigns for “Good Reason” following the resignation, termination, or replacement of DeepGreen’s Chief Executive Officer, Mr. O’Sullivan will receive (a) a payment equal to 9 months of his then base salary in lieu of notice plus one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O’Sullivan Employment Bonus; and (e) continued payment of the premiums required to maintain Mr. O’Sullivan’s participation in the benefits plans in which he participates for the minimum period required by applicable law. If Mr. O’Sullivan’s employment is terminated without “Cause” within 24 months following a “Fundamental Change” (as defined in the O’Sullivan Employment Agreement), Mr. O’Sullivan will receive (a) a payment equal to 12 months of his then annual base salary; (b) 1.5 times the O’Sullivan Employment Bonus paid for the previous year; and (c) immediate vesting of all unvested equity awards, subject to Mr. O’Sullivan agreeing that the non-competition period described above be extended to 12 months from the date of termination.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Erika Ilves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DeepGreen entered into an employment agreement with Ms. Ilves, who accepted and commenced her role as DeepGreen’s Head of Strategy and Business Development on September 1, 2018 (the “Ilves Employment Agreement”). Pursuant to the terms of the Ilves Employment Agreement, Ms. Ilves’ initial annual base salary was $180,000, which increased to $300,000 per annum, effective January 1, 2019. Ms. Ilves’ current annual base salary is $395,000. As a DeepGreen employee, Ms. Ilves is eligible to participate in DeepGreen’s employee benefit plans, short term incentive plan and long-term incentive plan. In connection with her hiring, Ms. Ilves was granted certain stock options under the DeepGreen Plan, subject to the terms and conditions set forth by her stock option agreement with DeepGreen, dated September 1, 2018 (the “Ilves Stock Option Agreement”). Under the Ilves Stock Option Agreement, Ms. Ilves was granted 1,099,968 common shares, at an exercise price of $0.65 per share, subject to (i) thirty-four percent (34%) of the shares vesting as of the grant date, (ii) thirty-three percent (33%) of the shares vesting on September 1, 2019, and (iii) thirty-three percent (33%) of the shares vesting on September 1, 2020. The vested options are set to expire on June 1, 2028 under the vesting and expiration conditions of the Ilves Stock Option Agreement. If Ms. Ilves’ employment with DeepGreen is terminated without “cause” or, within six months following a change of control of DeepGreen, Ms. Ilves experiences a “triggering event,” Ms. Ilves will receive any earned, but unpaid, annual bonus.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“triggering event” is generally defined under the employment agreements as a material adverse change to any of the employee’s duties, powers or title as they existed immediately prior to a change of control, a material adverse change in the office or body to whom the employee reports immediately prior to a change in control, the employee being required to work more than 50 km from the employee’s primary place of work, or a material adverse change in the employee’s remuneration.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Our NEOs participate in employee benefit programs available to its employees generally. DeepGreen did not maintain any executive-specific benefit or perquisite programs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Plans and Stock Option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DeepGreen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80"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w:t>
      </w:r>
    </w:p>
    <w:p>
      <w:pPr>
        <w:spacing w:after="0" w:line="3" w:lineRule="exact"/>
        <w:rPr>
          <w:sz w:val="20"/>
          <w:szCs w:val="20"/>
          <w:color w:val="auto"/>
        </w:rPr>
      </w:pPr>
    </w:p>
    <w:p>
      <w:pPr>
        <w:ind w:right="40" w:firstLine="8"/>
        <w:spacing w:after="0" w:line="251"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Incentive Equity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Issuance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TMC Incentive Equity Plan provides for the future issuance of 33,699,685 Common Shares (including 9,017,299 shares added to the plan in January 2022 pursuant to the plan’s evergreen provision), provided that 1/11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equal to the lesser of (a) 4% of the number of outstanding Common Shares on such date, and (b) an amount determined by the plan administrator.</w:t>
      </w:r>
    </w:p>
    <w:p>
      <w:pPr>
        <w:spacing w:after="0" w:line="14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and conditions of our ability to grant stock options are governed by the TMC Incentive Equity Plan. Notably, we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a sub-plan to the TMC Incentive Equity Plan (the “U.S. Sub-Plan”) for the purpose of granting stock options to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are residents of the United States or who are or may become subject to U.S. tax. Stock options granted under the U.S. Sub-Plan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be incentive stock options, which are intended to satisfy the requirements of Section 422 of the Code, or non-qualified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Incentive stock options may be granted to employees of TMC and its affiliates, and the aggregate fair market value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determined at the time of grant with respect to incentive stock options that are exercisable for the first time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during any calendar year may not exceed $100,000. Non-qualified options may be granted to our employees,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directors and consultants and our affiliates. If an incentive stock option is granted to an individual who owns 10% or less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voting power of all classes of our stock or our affiliate, the exercise price of the stock option may not be less than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the Common Shares on the date of grant, and the term of the stock option may not be longer than ten years. If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 is granted to an individual who owns more than 10% of the combined voting power of all classes of our stock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affiliate, the exercise price of the stock option may not be less than 110% of the fair market value of the Common Shares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 and the term of the stock option may not be longer than five years.</w:t>
      </w:r>
    </w:p>
    <w:p>
      <w:pPr>
        <w:spacing w:after="0" w:line="16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 and Performance-Based Awards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Dividends and Stock Splits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Transactions</w:t>
      </w:r>
    </w:p>
    <w:p>
      <w:pPr>
        <w:spacing w:after="0" w:line="20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35" w:lineRule="exact"/>
        <w:rPr>
          <w:sz w:val="20"/>
          <w:szCs w:val="20"/>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options will be assumed or substituted by the successor corporation;</w:t>
      </w:r>
    </w:p>
    <w:p>
      <w:pPr>
        <w:spacing w:after="0" w:line="184"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34"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3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other stock awards, provide that outstanding awards will be assumed or substituted by the successor corporation;</w:t>
      </w:r>
    </w:p>
    <w:p>
      <w:pPr>
        <w:spacing w:after="0" w:line="184" w:lineRule="exact"/>
        <w:rPr>
          <w:rFonts w:ascii="Times New Roman" w:cs="Times New Roman" w:eastAsia="Times New Roman" w:hAnsi="Times New Roman"/>
          <w:sz w:val="18"/>
          <w:szCs w:val="18"/>
          <w:color w:val="auto"/>
        </w:rPr>
      </w:pPr>
    </w:p>
    <w:p>
      <w:pPr>
        <w:ind w:left="680" w:right="100" w:hanging="321"/>
        <w:spacing w:after="0" w:line="258"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156"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a Corporate Transaction, to the extent not assumed or substituted by the successor or cashed out, the outstanding awards will terminate.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of Plan</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TMC Incentive Equity Plan will expire by its terms in April 2031.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director</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Sustainability and Innovation Committee chairperson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 and Innovation Committee member</w:t>
            </w: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grant to new non-employee directors upon their initial election to the board of directors a number of 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table below summarizes the compensation of each person serving as a non-employee director of TMC and DeepGreen for the fiscal year ended December 31, 2021. Gerard Barron, our Chief Executive Officer, did not receive any additional compensation for his service as a director of DeepGreen in 2021. The compensation of Mr. Barron as a NEO is set forth above under “</w:t>
      </w:r>
      <w:r>
        <w:rPr>
          <w:rFonts w:ascii="Times New Roman" w:cs="Times New Roman" w:eastAsia="Times New Roman" w:hAnsi="Times New Roman"/>
          <w:sz w:val="18"/>
          <w:szCs w:val="18"/>
          <w:i w:val="1"/>
          <w:iCs w:val="1"/>
          <w:color w:val="auto"/>
        </w:rPr>
        <w:t>-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139,558</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135,680</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1,055,485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$ 1,189,614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134,904</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129,474</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$ 99,998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134,129</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1,129,224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$ 1,152,171</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1,371,246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$ 1,416,389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660" w:right="160" w:hanging="328"/>
        <w:spacing w:after="0" w:line="261"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8,032 RSUs granted during the year ended December 31, 2021. The grant date fair value is computed based on the closing market price on the date of grant in accordance with ASC 718.</w:t>
      </w:r>
    </w:p>
    <w:p>
      <w:pPr>
        <w:ind w:left="660" w:right="20" w:hanging="328"/>
        <w:spacing w:after="0" w:line="265"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63,682 STIP options and 126,407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ind w:left="660" w:right="20" w:hanging="328"/>
        <w:spacing w:after="0" w:line="265" w:lineRule="auto"/>
        <w:tabs>
          <w:tab w:leader="none" w:pos="6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5,789 STIP options and 101,126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ind w:left="660" w:right="80" w:hanging="328"/>
        <w:spacing w:after="0" w:line="25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126,407 LTIP options granted under the DeepGreen Plan during the year ended December 31, 2021. Refer to Note 16 to the audited consolidated financial statements for the year ended December 31, 2021 included elsewhere in this prospectus for details on the grant date fair value of the option awards, computed in accordance with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lists all outstanding equity awards held by non-employee directors as of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3"/>
        </w:trPr>
        <w:tc>
          <w:tcPr>
            <w:tcW w:w="6900" w:type="dxa"/>
            <w:vAlign w:val="bottom"/>
            <w:gridSpan w:val="2"/>
            <w:vMerge w:val="continue"/>
          </w:tcPr>
          <w:p>
            <w:pPr>
              <w:spacing w:after="0"/>
              <w:rPr>
                <w:sz w:val="15"/>
                <w:szCs w:val="15"/>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Hall</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769,020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Leonard</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 Kinahoi-Saimomua</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Munch Agerskov</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Matysek</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685,846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Paes-Braga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126,407</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460" w:right="80" w:hanging="452"/>
        <w:spacing w:after="0" w:line="242" w:lineRule="auto"/>
        <w:tabs>
          <w:tab w:leader="none" w:pos="460" w:val="left"/>
        </w:tabs>
        <w:numPr>
          <w:ilvl w:val="0"/>
          <w:numId w:val="8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 w:lineRule="exact"/>
        <w:rPr>
          <w:rFonts w:ascii="Times New Roman" w:cs="Times New Roman" w:eastAsia="Times New Roman" w:hAnsi="Times New Roman"/>
          <w:sz w:val="28"/>
          <w:szCs w:val="28"/>
          <w:color w:val="auto"/>
          <w:vertAlign w:val="superscript"/>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RSUs which vests in thirds on each anniversary of the grant date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SOAC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our common shares prior to the Business Combination.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SOAC completes a liquidation, merger, share exchange or other similar transaction that results in all of SOAC’s shareholders having the right to exchange their Class A ordinary shares for cash, securities or other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with each private placement warrant exercisable for one whole Class A ordinary share at a price of $11.50 per share.</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 portion of the proceeds from the sale of the private placement warrants was added to the proceeds from the initial public offering held in the Trust Account. The private placement warrants are non-redeemable and exercisable on a cashless basis so long as they are held by permitted transferees.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Sponsor and SOAC’s officers and directors agreed, subject to limited exceptions, not to transfer, assign or sell any of their private placement warrants until October 9,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December 31, 2019, the Sponsor agreed to loan SOAC an aggregate of up to $300,000 to cover expenses related to SOAC’s initial public offering pursuant to a promissory note (the “Note”). This loan was non-interest bearing and payable on the earlier of December 31, 2020 or the completion of the initial public offering. The Sponsor paid an aggregate of approximately $163,000 to cover expenses on SOAC’s behalf under the Note. On May 8, 2020, SOAC repaid the Note in full.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SOAC entered into an agreement, commencing on May 8, 2020, through the earlier of the SOAC’s consummation of a Business Combination and its liquidation, to reimburse the Sponsor a total of $10,000 per month for office space, secretarial and administrative services. SOAC incurred and paid $80,000 in expenses in connection with such services and recorded in general and administrative expenses in the statements of operations for each of the years ended December 31, 2021 and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the PIPE Financing consummated on September 9, 2021, Allseas and Argentum Cedit Virtuti, an affiliate of Allseas, purchased $20 million and $10 million of our Common Shares,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Legacy DeepGreen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Private Placement</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 2019, DeepGreen sold 11,793,764 DeepGreen Common Shares at a price per share ranging from $1.51 to $2.59 in a private placement transaction for total gross proceeds of $26,158,504. In connection therewith, ERAS Capital, an entity controlled by Andrei Karkar and an owner of more than 5% of our Common Shares, purchased 3,308,177 shares in the offering for an aggregate purchase price of $5,000,000.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Private Placement</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2020, DeepGreen sold 6,553,409 DeepGreen Common Shares at a price per share of $3.11 in a private placement transaction for total gross proceeds of $20,375,712. In connection therewith, (i) Gerard Barron, our Chief Executive Officer and Chairman of our board of directors and an owner of more than 5% of our Common Shares, purchased 241,800 DeepGreen Chares in the offering for an aggregate purchase price of $749,999 on August 7, 2020, and (ii) ERAS Capital, an entity controlled by Andrei Karkar and an owner of more than 5% of our Common Shares, purchased 2,412,212 DeepGreen Shares in the offering for an aggregate purchase price of $7,499,999 on July 13,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DGE is party to a consulting agreement with SSCS Pte. Ltd. (“SSCS”), an entity that is wholly-owned by John Machin, our Head of Offshore Engineering, to manage offshore engineering studies. Mr. Machin is also a director of DGE. Consulting services during the year ended December 31, 2021 and three months ended March 31, 2022 amounted to $275,000 and $69,000, respectively, and consulting services for the year ended December 31, 2020 and three months ended March 31, 2021 amounted to $275,000 and $74,000, respectively. As of March 31, 2022, the amount payable to SSCS amounted to $23,000.</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Gregory Stone, our Chief Ocean Scientist, regularly provides consulting services to us through Ocean Renaissance LLC (“Ocean Renaissance”), where he is a principal. Consulting services during the year ended December 31, 2021 and three months ended March 31, 2022 amounted to $375,000 and $94,000, respectively, and consulting services during the year ended December 31, 2020 and three months ended March 31, 2021 amounted to $366,667 and $93,000, respectively. As of March 31, 2022 and at December 31, 2021, the additional amounts payable to Ocean Renaissance amounted to $nil.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which provides the foundation for DeepGreen and Allseas to conduct project development of an integrated offshore nodule collection system for the Company’s subsidiaries. As initially constituted, Allseas agreed to subscribe for (i) 7.7 million DeepGreen Common Shares for a purchase price of $20,000,000 in cash (the “Subscription”), the entire amount of which was funded, and (ii) an additional 11.6 million common shares in exchange for services rendered by Allseas in respect of the contemplated pilot mining test system (the “PMTS”), which would be designed and built by Allseas. The 11.6 million shares would only be issued upon completion of the PMTS (the “Success Fee Shares”), along with an additional $30 million cash success fee that would be payable simultaneously therewith. The SAA also contemplated that the Company and Allseas would enter into other commercial arrangements following the successful completion of the PMTS.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July 8, 2019, the Company and Allseas entered into the Pilot Mining Test Agreement (the “PMTA”), which governed the terms, design specifications, procedures, and timetable under which Allseas agreed to complete the PMTS, and which agreement is intended to be used by NORI. The PMTA was subsequently amended on September 1, 2019, February 20, 2020, and March 4, 2021. The SAA was also amended on March 4, 2021 (collectively with the PMTA amendment of the same date, the “Amendment”), which Amendment became effective upon the Closing Under the PMTA, in exchange for Allseas’ development efforts, upon successful delivery of the pilot trial of the PMTS in NORI Area D by Allseas, we agreed to pay Allseas: (a) $30.0 million in cash and (b) issue 11.6 million common shares.</w:t>
      </w:r>
    </w:p>
    <w:p>
      <w:pPr>
        <w:spacing w:after="0" w:line="18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production system. We paid an additional: (a) $10.0 million in cash and (b) $10.0 million by issuing 3.2 million common shares valued at $3.11 per share.</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4, 2021 and June 30, 2021, the Company and Allseas further amended the PMTA whereby, instead of issuing 11.6 million common shares upon successful delivery of the pilot trial of the PMTS in NORI Area D, we issued the Allseas Warrant (Note 14 to our consolidated financial statements for the year ended December 31, 2021).</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was higher than $12.95 per common share, the aggregate value of the common shares underlying the Allseas Warrant above $150 million as at June 1, 2022 could have automatically become a commercial credit from Allseas to the Company equal to the excess value effective on the vesting date of the Allseas Warrant. The Company would have been able to exchange any excess value for any future goods and services from Allseas under the nodule collection and shipping contract for one year after commercial production. Based on the price of our common shares on June 1, 2022, we did not receive this commercial credit from Allseas.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60" w:hanging="328"/>
        <w:spacing w:after="0" w:line="261"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and Allseas providing confirmation of placing an order for certain equipment and demonstrating certain progress on construction of the PMTS;</w:t>
      </w: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 On March 25, 2021, the North Sea drive test was completed and we expect to pay to Allseas the second $10 million payment in April 2022.</w:t>
      </w:r>
    </w:p>
    <w:p>
      <w:pPr>
        <w:spacing w:after="0" w:line="18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PMTS developed and currently being tested by Allseas is expected to be upgraded to a commercial system with a targeted production capacity of 1.3 Mtpa of wet nodules and expected production readiness by the fourth quarter of 2024. NORI and Allseas intend to equally finance all costs related to developing and getting Project Zero System into production currently estimated at less than EUR100 million. It is anticipated that NORI will not have to make any Project Zero System-related payments to Allseas until March 31, 2023. Once in production, NORI expects to pay Allseas a nodule collection and transshipment fee estimated at approximately EUR 150 per wet tonne in the first year of operations and expected to be reduced by more than 20% in the following years as Allseas scales up production to 1.3 Mtpa of wet nodules. The parties intend to further detail and revise these cost estimates in the definitive agreement contemplated by the non-binding term sheet, which the parties expect to enter into no later than December 31, 2022 following the completion of the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3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Maersk</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March 21, 2017, the Company entered into four charter vessel agreements with Maersk and one charter vessel agreement with Maersk UK (together, the “Maersk Supply Agreements”) pursuant to which Maersk and Maersk UK agreed to supply the Company with vessels and offshore services for a total of five marine campaigns. By letter agreement on March 3, 2021, the Company and Maersk agreed to extend the arrangement until 2022.</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$1.08 (subject to adjustment as described therein), upon completion of each marine cruise, and after agreement between the parties as to the calculation of the final cost to Maersk or Maersk UK for such cruise.</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arrangements with Maersk all ended in January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At the Closing,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Under the Amended and Restated Registration Rights Agreement, the Sponsor Group Holders and the DeepGreen Holders also agreed not to effect any sale or distribution of certain of our equity securities held by them during the period ending on the earlier of</w:t>
      </w:r>
    </w:p>
    <w:p>
      <w:pPr>
        <w:ind w:right="40" w:firstLine="8"/>
        <w:spacing w:after="0" w:line="251" w:lineRule="auto"/>
        <w:tabs>
          <w:tab w:leader="none" w:pos="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shareholders having the right to exchange their Common Shares for cash, securities or other property. Certain Common Shares held by the Sponsor Group Holders shall not be offered, sold, pledged or distributed for periods of six months, which expired on March 8, 2022, or twelve months, as applicable, and certain Common Shares held by the DeepGreen Holders shall not be offered, sold, pledged or distributed for periods of six months, which expired on March 8, 2022, or eighteen months, as applicable, subject to the exceptions described in the Amended and Restated Registration Rights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 with Officers and Directors and Directors’ and Officers’ Liability Insurance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the following policies and procedures for the review and approval or ratification of related person transactions.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an executive officer, director, or director nominee of the Company at any time since the beginning of the Company’s last fiscal year;</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or was an Immediate Family Member (as defined below) of an executive officer, director, director nominee at any time since the beginning of the Company’s last fiscal year;</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the beneficial owner of more than 5% of any class of the Company’s voting securities (a “Significant Shareholder”); or</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at the time of the occurrence or existence of the transaction, is an Immediate Family Member of a Significant Shareholder of the Company.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176"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transaction;</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 of the Company;</w:t>
      </w:r>
    </w:p>
    <w:p>
      <w:pPr>
        <w:spacing w:after="0" w:line="225"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transaction; and</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will approve only those transactions that it determines are fair to the Company and in the Company’s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(other than Sponsor or any of its affiliates). This discussion addresses only those U.S. Holders that hold our Common Shares and/or Public Warrants as capital assets within the meaning of Section 1221 of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jc w:val="both"/>
        <w:ind w:left="680" w:right="100" w:hanging="321"/>
        <w:spacing w:after="0" w:line="312" w:lineRule="auto"/>
        <w:tabs>
          <w:tab w:leader="none" w:pos="6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9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(“Treasury Regulations”), current administrative interpretations and practices of the Internal Revenue Service (“IRS”), and judicial decisions, all as currently in effect and all of which are subject to differing interpretations or to change, possibly with retroactive effect. No assurance can be given that theIRS would not assert, or that a court would not sustain a position contrary to any of the tax considerations described below.</w:t>
      </w:r>
    </w:p>
    <w:p>
      <w:pPr>
        <w:spacing w:after="0" w:line="1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162" w:lineRule="exact"/>
        <w:rPr>
          <w:sz w:val="20"/>
          <w:szCs w:val="20"/>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w:t>
      </w:r>
    </w:p>
    <w:p>
      <w:pPr>
        <w:spacing w:after="0" w:line="27" w:lineRule="exact"/>
        <w:rPr>
          <w:rFonts w:ascii="Times New Roman" w:cs="Times New Roman" w:eastAsia="Times New Roman" w:hAnsi="Times New Roman"/>
          <w:sz w:val="18"/>
          <w:szCs w:val="18"/>
          <w:color w:val="auto"/>
        </w:rPr>
      </w:pPr>
    </w:p>
    <w:p>
      <w:pPr>
        <w:ind w:left="6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(within the meaning of the Code) who have the authority to control all substantial decisions of the trust or (B) that has in effect a valid election under applicable Treasury Regulations to be treated as a U.S. person.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TMC’s current or accumulated earnings and profits, as determined under U.S. federal income tax principles. Distributions in excess of TMC’s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Shares and Public Warrants.</w:t>
      </w:r>
      <w:r>
        <w:rPr>
          <w:rFonts w:ascii="Times New Roman" w:cs="Times New Roman" w:eastAsia="Times New Roman" w:hAnsi="Times New Roman"/>
          <w:sz w:val="18"/>
          <w:szCs w:val="18"/>
          <w:color w:val="auto"/>
        </w:rPr>
        <w:t>” The amount of any such distribution will include any amounts withheld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(or another applicable withholding agent) in respect of Canadian income taxes. Any amount treated as dividend income will be treated as foreign-source dividend income. Amounts treated as dividends that TMC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TMC is eligible for benefits under an applicable tax treaty with the United States, and TMC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3"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w:t>
      </w:r>
    </w:p>
    <w:p>
      <w:pPr>
        <w:spacing w:after="0" w:line="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and will be 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9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event, a U.S. Holder may be deemed to have surrendered a number of Public Warrants having a value equal to the exercise price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Public Warrants to be exercised. The U.S. Holder would recognize capital gain or loss in an amount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between the fair market value of the Public Warrants deemed surrendered and the U.S. Holder’s tax basis in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deemed surrendered. In this case, a U.S. Holder’s tax basis in the shares of Common Shares received would equal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Holder’s tax basis in the Public Warrants exercised, and the exercise price of such Public Warrants. It is unclear whether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holding period for the shares of Common Shares would commence on the date of exercise of the Public Warrant or the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date of exercise of the Public Warrant; in either case, the holding period will not include the period during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 held the Public Warrant.</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TMC redeems Public Warrants for cash or if TMC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Sale, Taxable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Taxable Disposition of Common Shares and TMC Warrants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Dividends and Other Distributions 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TMC is treated as a PFIC for U.S. federal income tax purposes.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If TMC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(the “Asset Test”). Passive income generally includes dividends, interest, rents and royalties (other than rents or royalties derived from the active conduct of a trade or business) and gains from the disposition of passive assets.</w:t>
      </w:r>
    </w:p>
    <w:p>
      <w:pPr>
        <w:spacing w:after="0" w:line="18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Based on our initial assessment, we do not believe that TMC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TMC is classified as a PFIC is a factual determination that must be made annually after the close of each taxable year. Accordingly, there can be no assurance with respect to TMC’s status as a PFIC for the current or any future taxable year. Although PFIC status is generally determined annually, if TMC is determined to be a PFIC for any taxable year (or portion thereof) that is included in the holding period of a U.S. Holder of Common Shares and the U.S. Holder did not make either a qualifying electing fund (“QEF”) election or a mark-to-market election (collectively, the “PFIC Elections”) for the first taxable year of TMC in which it was treated as a PFIC, and in which the U.S. Holder held (or was deemed to hold) such shares, or such U.S. Holder does not otherwise make an applicable purging election described below, such</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80" w:right="240" w:hanging="321"/>
        <w:spacing w:after="0" w:line="282"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161" w:lineRule="exact"/>
        <w:rPr>
          <w:rFonts w:ascii="Times New Roman" w:cs="Times New Roman" w:eastAsia="Times New Roman" w:hAnsi="Times New Roman"/>
          <w:sz w:val="18"/>
          <w:szCs w:val="18"/>
          <w:color w:val="auto"/>
        </w:rPr>
      </w:pPr>
    </w:p>
    <w:p>
      <w:pPr>
        <w:jc w:val="both"/>
        <w:ind w:left="680" w:right="380" w:hanging="321"/>
        <w:spacing w:after="0" w:line="266"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TMC’s first taxable year in which TMC is a PFIC, will be taxed as ordinary income;</w:t>
      </w:r>
    </w:p>
    <w:p>
      <w:pPr>
        <w:spacing w:after="0" w:line="17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general, if TMC is determined to be a PFIC, a U.S. Holder may avoid the adverse PFIC tax consequences described above in respect of Common Shares by making and maintaining a timely and valid QEF election (if eligible to do so) to include in income its pro rata share of TMC’s net capital gains (as long-term capital gain) and other earnings and profits (as ordinary income), on a current basis, in each case whether or not distributed, in the first taxable year of the U.S. Holder in which or with which TMC’s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TMC determines that it is a PFIC, TMC intends to provide the information necessary for U.S. Holders to make or maintain a QEF election, including information necessary to determine the appropriate income inclusion amounts for purposes of the QEF election.</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However, there is also no assurance that TMC will have timely knowledge of its status as a PFIC in the future or of the required information to be provided.</w:t>
      </w:r>
    </w:p>
    <w:p>
      <w:pPr>
        <w:spacing w:after="0" w:line="1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if TMC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TMC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9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TMC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TMC will be deemed to have made a distribution to the U.S. Holder of such U.S. Holder’s pro rata share of TMC’s earnings and profits as determined for U.S. federal income tax purposes. In order for the U.S. Holder to make the second election, TMC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IRS. U.S. Holders are urged to consult their tax advisors regarding the availability and tax consequences of a retroactive QEF election under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If TMC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TMC receives a distribution from, or disposes of all or part of its interest in, the lower-tier PFIC, or the</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U.S. Holder otherwise was deemed to have disposed of an interest in the lower-tier PFIC. In certain circumstances, a U.S. Holder may make a QEF election with respect to any lower-tier PFIC.</w:t>
      </w:r>
    </w:p>
    <w:p>
      <w:pPr>
        <w:spacing w:after="0" w:line="1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80"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TMC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92"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6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80" w:lineRule="exact"/>
        <w:rPr>
          <w:sz w:val="20"/>
          <w:szCs w:val="20"/>
          <w:color w:val="auto"/>
        </w:rPr>
      </w:pPr>
    </w:p>
    <w:p>
      <w:pPr>
        <w:ind w:left="840" w:hanging="400"/>
        <w:spacing w:after="0"/>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with at arm’s length,</w:t>
      </w:r>
    </w:p>
    <w:p>
      <w:pPr>
        <w:spacing w:after="0" w:line="27" w:lineRule="exact"/>
        <w:rPr>
          <w:rFonts w:ascii="Times New Roman" w:cs="Times New Roman" w:eastAsia="Times New Roman" w:hAnsi="Times New Roman"/>
          <w:sz w:val="18"/>
          <w:szCs w:val="18"/>
          <w:color w:val="auto"/>
        </w:rPr>
      </w:pPr>
    </w:p>
    <w:p>
      <w:pPr>
        <w:ind w:left="84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partnerships in which the Non-Resident Holder or a person described in (b) holds an interest directly or indirectly through one or more partnerships, or (d) any combination of (a) to (c), owned 25% or more of the issued shares of any class or series of our capital stock; and</w:t>
      </w:r>
    </w:p>
    <w:p>
      <w:pPr>
        <w:spacing w:after="0" w:line="185" w:lineRule="exact"/>
        <w:rPr>
          <w:rFonts w:ascii="Times New Roman" w:cs="Times New Roman" w:eastAsia="Times New Roman" w:hAnsi="Times New Roman"/>
          <w:sz w:val="18"/>
          <w:szCs w:val="18"/>
          <w:color w:val="auto"/>
        </w:rPr>
      </w:pPr>
    </w:p>
    <w:p>
      <w:pPr>
        <w:ind w:left="840" w:right="60" w:hanging="400"/>
        <w:spacing w:after="0" w:line="261" w:lineRule="auto"/>
        <w:tabs>
          <w:tab w:leader="none" w:pos="8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7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issuance by us of up to 9,500,000 of our Common Shares issuable upon the exercise of the Private Placement Warrants and 15,000,000 of our Common Shares issuable upon the exercise of the Public Warrants. We are also registering the resale by the Selling Securityholders of up to 9,500,000 Private Placement Warrants and up to 264,438,297 of our Common Shares.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their respective Common Shares, and Private Placement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80" w:right="40" w:hanging="321"/>
        <w:spacing w:after="0" w:line="266"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16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Certain of our stockholders have entered into lock-up agreements.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 holder of Private Placement Warrants or Public Warrants may exercise its Private Placement Warrants or Public Warrants in accordance with the Warrant agreements on or before the expiration date set forth therein by surrendering, at the office of the Warrant Agent, Continental Stock Transfer &amp; Trust Company, the certificate evidencing such Private Placement Warrants or Public Warrants, with the form of election to purchase set forth thereon, properly completed and duly executed, accompanied by full payment of the exercise price and any and all applicable taxes due in connection with the exercise of the Private Placement Warrants or Public Warrants, subject to any applicable provisions relating to cashless exercises in accordance with the Warrant agreements.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also agreed with the PIPE Investors pursuant to the PIPE Investor Subscription Agreements to cause the registration statement to remain effective until the earlier of (i) three years (in the case of the Subscription Agreements)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At the Closing, the Company,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The Sponsor Group Holders and the DeepGreen Holders also agreed not to effect any sale or distribution of certain equity securities of the Company held by them during the period ending on the earlier of</w:t>
      </w:r>
    </w:p>
    <w:p>
      <w:pPr>
        <w:spacing w:after="0" w:line="5" w:lineRule="exact"/>
        <w:rPr>
          <w:sz w:val="20"/>
          <w:szCs w:val="20"/>
          <w:color w:val="auto"/>
        </w:rPr>
      </w:pPr>
    </w:p>
    <w:p>
      <w:pPr>
        <w:ind w:firstLine="8"/>
        <w:spacing w:after="0" w:line="251" w:lineRule="auto"/>
        <w:tabs>
          <w:tab w:leader="none" w:pos="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after the Closing, which ended on March 8, 2022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Closing, or (y) we complete a liquidation, merger, stock exchange, reorganization or other similar transaction that results in all of our public stockholders having the right to exchange their Common Shares for cash, securities or other property. Certain Common Shares held by the Sponsor Group Holders shall not be offered, sold, pledged or distributed for periods of six months, which ended on March 8, 2022 or twelve months, as applicable, and certain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Fasken Martineau DuMoulin LLP (“Fasken”) has passed upon the validity of the Common Shares offered by this prospectus and certain other legal matters related to Canadian law. Mintz, Levin, Cohn, Ferris, Glovsky and Popeo, P.C. (“Mintz”) has passed upon the validity of the Warrants and certain other legal matters. Fasken and Mintz own 14,630 and 36,361 Common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included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British Columbia, Canada and, as a result, the rights of the holders of our securities will be governed by Canadian law and our amended organizational documents.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court would take jurisdiction on a matter of liability predicated solely upon U.S. federal securities laws, and uncertainty with respect to whether a Canadian court would enforce a foreign judgement on liabilities predicated upon the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SUSTAINABLE OPPORTUNITIES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As At and For The Years Ended December 31, 2021 and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9080" w:type="dxa"/>
            <w:vAlign w:val="bottom"/>
            <w:gridSpan w:val="1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 xml:space="preserve">Report of Independent Registered Public Accounting Firm </w:t>
            </w:r>
            <w:r>
              <w:rPr>
                <w:rFonts w:ascii="Times New Roman" w:cs="Times New Roman" w:eastAsia="Times New Roman" w:hAnsi="Times New Roman"/>
                <w:sz w:val="15"/>
                <w:szCs w:val="15"/>
                <w:color w:val="000000"/>
              </w:rPr>
              <w:t>(PCAOB ID: 1263)</w:t>
            </w: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78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2021 and 2020</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for the Years Ended December 31, 2021 and 2020</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20" w:type="dxa"/>
            <w:vAlign w:val="bottom"/>
            <w:tcBorders>
              <w:top w:val="single" w:sz="8" w:color="CCEEFF"/>
            </w:tcBorders>
          </w:tcPr>
          <w:p>
            <w:pPr>
              <w:spacing w:after="0"/>
              <w:rPr>
                <w:sz w:val="15"/>
                <w:szCs w:val="15"/>
                <w:color w:val="auto"/>
              </w:rPr>
            </w:pPr>
          </w:p>
        </w:tc>
        <w:tc>
          <w:tcPr>
            <w:tcW w:w="786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2021 and 2020</w:t>
            </w:r>
          </w:p>
        </w:tc>
        <w:tc>
          <w:tcPr>
            <w:tcW w:w="1220" w:type="dxa"/>
            <w:vAlign w:val="bottom"/>
            <w:tcBorders>
              <w:top w:val="single" w:sz="8" w:color="CCEEFF"/>
            </w:tcBorders>
            <w:gridSpan w:val="3"/>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2020</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2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580" w:type="dxa"/>
            <w:vAlign w:val="bottom"/>
            <w:tcBorders>
              <w:top w:val="single" w:sz="8" w:color="CCEEFF"/>
            </w:tcBorders>
            <w:gridSpan w:val="6"/>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At and For The Three Months Ended March 31, 2022 and 2021</w:t>
            </w:r>
          </w:p>
        </w:tc>
        <w:tc>
          <w:tcPr>
            <w:tcW w:w="8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7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and 2021</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Loss and Comprehensive Loss for the Three Months Ended March 31, 2022 and</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F-37</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81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Equity for the Three Months Ended March 31, 2022 and 2021</w:t>
            </w:r>
          </w:p>
        </w:tc>
        <w:tc>
          <w:tcPr>
            <w:tcW w:w="90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F-38</w:t>
            </w:r>
          </w:p>
        </w:tc>
      </w:tr>
      <w:tr>
        <w:trPr>
          <w:trHeight w:val="176"/>
        </w:trPr>
        <w:tc>
          <w:tcPr>
            <w:tcW w:w="20" w:type="dxa"/>
            <w:vAlign w:val="bottom"/>
          </w:tcPr>
          <w:p>
            <w:pPr>
              <w:spacing w:after="0"/>
              <w:rPr>
                <w:sz w:val="15"/>
                <w:szCs w:val="15"/>
                <w:color w:val="auto"/>
              </w:rPr>
            </w:pPr>
          </w:p>
        </w:tc>
        <w:tc>
          <w:tcPr>
            <w:tcW w:w="90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2022 and 2021</w:t>
            </w: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F-39</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0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TMC the metals company Inc. (the “Company”) as of December 31, 2021 and 2020, the related consolidated statements of loss and comprehensive loss, changes in shareholders’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two years in the period ended December 31, 2021,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74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40" w:type="dxa"/>
            <w:vAlign w:val="bottom"/>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1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Exploration contracts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225,432,493</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2020 – 189,493,593))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Preferred shares </w:t>
            </w:r>
            <w:r>
              <w:rPr>
                <w:rFonts w:ascii="Times New Roman" w:cs="Times New Roman" w:eastAsia="Times New Roman" w:hAnsi="Times New Roman"/>
                <w:sz w:val="18"/>
                <w:szCs w:val="18"/>
                <w:i w:val="1"/>
                <w:iCs w:val="1"/>
                <w:color w:val="auto"/>
              </w:rPr>
              <w:t>(unlimited shares, no par value – issued: nil (December</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31, 2020 – 509,459))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54,685</w:t>
            </w:r>
          </w:p>
        </w:tc>
        <w:tc>
          <w:tcPr>
            <w:tcW w:w="0" w:type="dxa"/>
            <w:vAlign w:val="bottom"/>
          </w:tcPr>
          <w:p>
            <w:pPr>
              <w:spacing w:after="0"/>
              <w:rPr>
                <w:sz w:val="1"/>
                <w:szCs w:val="1"/>
                <w:color w:val="auto"/>
              </w:rPr>
            </w:pPr>
          </w:p>
        </w:tc>
      </w:tr>
      <w:tr>
        <w:trPr>
          <w:trHeight w:val="403"/>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(Note 23)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Loss and Comprehensive Loss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gridSpan w:val="7"/>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 except share and per share amounts)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980" w:type="dxa"/>
            <w:vAlign w:val="bottom"/>
            <w:gridSpan w:val="2"/>
          </w:tcPr>
          <w:p>
            <w:pPr>
              <w:jc w:val="center"/>
              <w:ind w:left="2050"/>
              <w:spacing w:after="0"/>
              <w:rPr>
                <w:sz w:val="20"/>
                <w:szCs w:val="20"/>
                <w:color w:val="auto"/>
              </w:rPr>
            </w:pPr>
            <w:r>
              <w:rPr>
                <w:rFonts w:ascii="Times New Roman" w:cs="Times New Roman" w:eastAsia="Times New Roman" w:hAnsi="Times New Roman"/>
                <w:sz w:val="18"/>
                <w:szCs w:val="18"/>
                <w:color w:val="auto"/>
                <w:w w:val="88"/>
              </w:rPr>
              <w:t>11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93,006</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(income)</w:t>
            </w:r>
          </w:p>
        </w:tc>
        <w:tc>
          <w:tcPr>
            <w:tcW w:w="298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141,299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98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204,926,931</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178,570,876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$ 154,431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6,312,756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16)</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exploration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and evaluation expenses (Note 11)</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 (Note 13)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3,126,567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0" w:type="dxa"/>
            <w:vAlign w:val="bottom"/>
          </w:tcPr>
          <w:p>
            <w:pPr>
              <w:spacing w:after="0"/>
              <w:rPr>
                <w:sz w:val="1"/>
                <w:szCs w:val="1"/>
                <w:color w:val="auto"/>
              </w:rPr>
            </w:pPr>
          </w:p>
        </w:tc>
      </w:tr>
      <w:tr>
        <w:trPr>
          <w:trHeight w:val="149"/>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60,565</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21,384,296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72,411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91,911</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6)</w:t>
            </w: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preferred shares to</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509,459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(141,299)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(141,299)</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$ 296,051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372"/>
        </w:trPr>
        <w:tc>
          <w:tcPr>
            <w:tcW w:w="2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60" w:type="dxa"/>
            <w:vAlign w:val="bottom"/>
          </w:tcPr>
          <w:p>
            <w:pPr>
              <w:spacing w:after="0"/>
              <w:rPr>
                <w:sz w:val="24"/>
                <w:szCs w:val="24"/>
                <w:color w:val="auto"/>
              </w:rPr>
            </w:pPr>
          </w:p>
        </w:tc>
        <w:tc>
          <w:tcPr>
            <w:tcW w:w="16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2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163,331,904</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79,824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35,257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(106,227)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8,188</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Private placement (net of financing costs)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6,553,409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20,376</w:t>
            </w: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16)</w:t>
            </w:r>
          </w:p>
        </w:tc>
        <w:tc>
          <w:tcPr>
            <w:tcW w:w="9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2,605,189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Financing cost</w:t>
            </w: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5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issued for acquisition of</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Tonga Offshore Minerals Limited</w:t>
            </w: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9,005,595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71"/>
        </w:trPr>
        <w:tc>
          <w:tcPr>
            <w:tcW w:w="2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7)</w:t>
            </w:r>
          </w:p>
        </w:tc>
        <w:tc>
          <w:tcPr>
            <w:tcW w:w="9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exploration and evaluation expenses</w:t>
            </w:r>
          </w:p>
        </w:tc>
        <w:tc>
          <w:tcPr>
            <w:tcW w:w="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12,879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0" w:type="dxa"/>
            <w:vAlign w:val="bottom"/>
          </w:tcPr>
          <w:p>
            <w:pPr>
              <w:spacing w:after="0"/>
              <w:rPr>
                <w:sz w:val="1"/>
                <w:szCs w:val="1"/>
                <w:color w:val="auto"/>
              </w:rPr>
            </w:pPr>
          </w:p>
        </w:tc>
      </w:tr>
      <w:tr>
        <w:trPr>
          <w:trHeight w:val="171"/>
        </w:trPr>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16)</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w:t>
            </w:r>
          </w:p>
        </w:tc>
        <w:tc>
          <w:tcPr>
            <w:tcW w:w="0" w:type="dxa"/>
            <w:vAlign w:val="bottom"/>
          </w:tcPr>
          <w:p>
            <w:pPr>
              <w:spacing w:after="0"/>
              <w:rPr>
                <w:sz w:val="1"/>
                <w:szCs w:val="1"/>
                <w:color w:val="auto"/>
              </w:rPr>
            </w:pPr>
          </w:p>
        </w:tc>
      </w:tr>
      <w:tr>
        <w:trPr>
          <w:trHeight w:val="148"/>
        </w:trPr>
        <w:tc>
          <w:tcPr>
            <w:tcW w:w="2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7,997,496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24,866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18,455</w:t>
            </w:r>
          </w:p>
        </w:tc>
        <w:tc>
          <w:tcPr>
            <w:tcW w:w="0" w:type="dxa"/>
            <w:vAlign w:val="bottom"/>
          </w:tcPr>
          <w:p>
            <w:pPr>
              <w:spacing w:after="0"/>
              <w:rPr>
                <w:sz w:val="1"/>
                <w:szCs w:val="1"/>
                <w:color w:val="auto"/>
              </w:rPr>
            </w:pPr>
          </w:p>
        </w:tc>
      </w:tr>
      <w:tr>
        <w:trPr>
          <w:trHeight w:val="149"/>
        </w:trPr>
        <w:tc>
          <w:tcPr>
            <w:tcW w:w="2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(56,631)</w:t>
            </w: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4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154,431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80" w:type="dxa"/>
            <w:vAlign w:val="bottom"/>
            <w:gridSpan w:val="3"/>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resources provided by (used in)</w:t>
            </w: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(141,299)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exploration contract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shares (net of fees and other costs)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(Note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6).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year financial information, represents the financial condition and operating results of DeepGreen.</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processing and refining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critical for the transition to clean energy and infrastructure buildout.</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(the “ISA”), an intergovernmental organization established in 1994 pursuant to the United Nations Convention on the Law of the Sea (“UNCLOS”). ISA contracts are granted to sovereign states or have to be sponsored by a sovereign state. The Company’s wholly-owned subsidiary, Nauru Ocean Resources Inc. (“NORI”), was granted an exploration contract by the ISA in July 2011 under the sponsorship of the Republic of Nauru (“Nauru”) giving NORI exclusive rights to explore for polymetallic nodules in an area covering 74,830 km2 in the CCZ (“NORI Area”). On March 31, 2020, the Company acquired Tonga Offshore Mining Limited (“TOML”), which was granted an exploration contract by the ISA in January 2012 and has exclusive rights to explore for polymetallic nodules covering an area of 74,713 km2 in the CCZ (“TOML Area”) under the sponsorship of the Kingdom of Tonga (“Tonga”). Marawa Research and Exploration Limited (“Marawa”), an entity owned and sponsored by the Republic of Kiribati (“Kiribati”), was granted rights by the ISA to polymetallic nodules exploration in an area of 74,990 km2 in the CCZ (“Marawa Area”). The Company entered into an option agreement with Marawa to purchase such tenements granted to exclusively collect nodules from the Marawa Area in return for a royalty payable to Marawa. The Company is working with its strategic partner, Allseas Group S.A. (“Allseas”), to develop a system to collect, lift and transport nodules from the seafloor to shore and to subsequently convert that system into an early commercial production system. Maersk Supply Service A/S (“Maersk”) previously provided marine vessel operations and project management services for resource definition and environmental offshore campaigns. The agreement with Maersk ended in January 2022, following the completion of the NORI Area D baseline campaigns.</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7640" w:hanging="332"/>
        <w:spacing w:after="0" w:line="532" w:lineRule="auto"/>
        <w:tabs>
          <w:tab w:leader="none" w:pos="34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(“U.S. GAAP”) and include the accounts of TMC and its wholly-owned subsidiaries.</w:t>
      </w:r>
    </w:p>
    <w:p>
      <w:pPr>
        <w:spacing w:after="0" w:line="16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 (Note 6).</w:t>
      </w:r>
    </w:p>
    <w:p>
      <w:pPr>
        <w:spacing w:after="0" w:line="22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under the historical cost convention, except for warrants liability that has been measured at fair value, and are presented in US dollars.</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Consolidation</w:t>
      </w:r>
    </w:p>
    <w:p>
      <w:pPr>
        <w:spacing w:after="0" w:line="22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The principal subsidiaries of the Company, their activities, and their geographic locations as at December 31, 2021 were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Proportion of</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Held</w:t>
            </w:r>
          </w:p>
        </w:tc>
      </w:tr>
      <w:tr>
        <w:trPr>
          <w:trHeight w:val="23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Principal Activity</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the Company</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Metals ULC</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Mineral exploration</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Engineering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Resources, LLC</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USA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Ocean Resources Inc.</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 Education and Training Foundation Inc. (“NEAT”)</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Health and Environment Foundation Inc. (“NHEF”)</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 Offshore Mining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Kingdom of Tonga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Koloa Moana Resources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Minerals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Singapore Pte. Ltd.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Mineral exploration</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Singapore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TOML Holding 1 Ltd.</w:t>
            </w: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DeepGreen TOML Holding 2 Ltd.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Holding Company</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Metals Company Australia Pty Ltd</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Australia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TMC The Metals Company UK Limited</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Dormant</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United Kingdom</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inter-group balances have been eliminated on consolidation.</w:t>
      </w:r>
    </w:p>
    <w:p>
      <w:pPr>
        <w:spacing w:after="0" w:line="221"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Currencies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and losses on translation of these foreign currency transactions are included in the statements of loss and comprehensive loss. Non-monetary items that are measured at historical cost in a foreign currency are not retranslated.</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accounting for the acquisition of TOML, the valuation of common share-based payments, including valuation of the incentive stock options (Note 16) and the common shares issued to Maersk (Notes 11 and 15), as well as the valuation of warrants liability (Note 14). Actual results could differ materially from those estimates.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Financial Instruments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72"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2" w:lineRule="exact"/>
        <w:rPr>
          <w:sz w:val="20"/>
          <w:szCs w:val="20"/>
          <w:color w:val="auto"/>
        </w:rPr>
      </w:pPr>
    </w:p>
    <w:p>
      <w:pPr>
        <w:ind w:left="680" w:right="20" w:hanging="321"/>
        <w:spacing w:after="0" w:line="286" w:lineRule="auto"/>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jc w:val="both"/>
        <w:ind w:left="680" w:right="20" w:hanging="321"/>
        <w:spacing w:after="0" w:line="268"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2021 and 2020.</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at December 31, 2021 and 2020, the carrying values of cash and cash equivalents, receivables, accounts payable and accrued expenses and deferred acquisition costs approximate their fair values due to the short-term nature of these instruments.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Cash and Cash Equivalents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term deposits with a remaining term to maturity at acquisition of three months or less. As at December 31, 2021 and 2020, the Company had no cash equivalents.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Equipment</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categories of equipment are amortized on a declining balance basis as follows: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other equipment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equipment are determined by comparing the proceeds with the carrying amount of the asset and are included in the statement of loss and comprehensive loss.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Leases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included in operating lease right-of-use (“ROU”) assets and operating lease liabilities in the consolidated balance sheet. The Company does not have any finance leases.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When leases do not provide an implicit rate, the Company uses 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incremental borrowing rate based on the estimated rate of interest for collateralized borrowing over a similar term of the lease payments at commencement date. The operating lease ROU asset also includes any lease payments made and excludes lease incentives. Lease expense for operating leases is recognized on a straight-line basis over the lease term. Differences between the calculated lease payment and actual payment are expensed as incurred. Amortization of finance lease assets is recognized over the lease term. Interest expense on finance lease liabilities is recognized over the lease term in interest expense. The lease terms may include options to extend or terminate the lease when it is reasonably certain that we will exercise that option.</w:t>
      </w:r>
    </w:p>
    <w:p>
      <w:pPr>
        <w:spacing w:after="0" w:line="1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elected to apply the short-term lease recognition exemption to all of its lease arrangements and recorded an expense of $132 (2020: $117) for lease payments during the year ended December 31, 2021 relating to office premises and employee accommodations. Such lease expense is disclosed under general and administrative expenses within the statement of loss and comprehensive loss and forms part of cash flow from operating activities.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Exploration Contracts</w:t>
      </w:r>
    </w:p>
    <w:p>
      <w:pPr>
        <w:spacing w:after="0" w:line="229" w:lineRule="exact"/>
        <w:rPr>
          <w:sz w:val="20"/>
          <w:szCs w:val="20"/>
          <w:color w:val="auto"/>
        </w:rPr>
      </w:pPr>
    </w:p>
    <w:p>
      <w:pPr>
        <w:jc w:val="both"/>
        <w:ind w:left="340" w:firstLine="1"/>
        <w:spacing w:after="0" w:line="261" w:lineRule="auto"/>
        <w:rPr>
          <w:sz w:val="20"/>
          <w:szCs w:val="20"/>
          <w:color w:val="auto"/>
        </w:rPr>
      </w:pPr>
      <w:r>
        <w:rPr>
          <w:rFonts w:ascii="Times New Roman" w:cs="Times New Roman" w:eastAsia="Times New Roman" w:hAnsi="Times New Roman"/>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176"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jc w:val="both"/>
        <w:ind w:left="340" w:firstLine="1"/>
        <w:spacing w:after="0" w:line="266" w:lineRule="auto"/>
        <w:rPr>
          <w:sz w:val="20"/>
          <w:szCs w:val="20"/>
          <w:color w:val="auto"/>
        </w:rPr>
      </w:pPr>
      <w:r>
        <w:rPr>
          <w:rFonts w:ascii="Times New Roman" w:cs="Times New Roman" w:eastAsia="Times New Roman" w:hAnsi="Times New Roman"/>
          <w:sz w:val="18"/>
          <w:szCs w:val="18"/>
          <w:color w:val="auto"/>
        </w:rPr>
        <w:t>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  Share-Based Compensation</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stock options issued with performance conditions (Note 16),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issued with market conditions (Note 16),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8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 Warrants Liability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and ASC 815, Derivatives and Hedging. The classification of derivative instruments, including whether such instruments should be recorded as liabilities or as equity, is re-assessed at the end of each reporting period.</w:t>
      </w:r>
    </w:p>
    <w:p>
      <w:pPr>
        <w:spacing w:after="0" w:line="183"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subsequent to the Business Combination,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 liability is subject to re-measurement at each balance sheet date until exercised with any changes in fair value being recognized in the Company’s statement of loss and comprehensive loss.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xiii.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Company’s policy is to account for income tax related interest and penalties in income tax expense in the accompanying statements of loss and comprehensive loss.</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credits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85"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Estimates and Judgments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management judgments and estimates were applied to the following areas:</w:t>
      </w:r>
    </w:p>
    <w:p>
      <w:pPr>
        <w:spacing w:after="0" w:line="221"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7"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color w:val="auto"/>
        </w:rPr>
        <w:t xml:space="preserve">In March 2020, the Company completed the TOML Acquisition (Note 7) and applied guidance from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to understand the accounting treatment regarding this acquisition and make necessary judgments.</w:t>
      </w:r>
    </w:p>
    <w:p>
      <w:pPr>
        <w:spacing w:after="0" w:line="160"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ASC 805 defines a business as consisting of inputs and processes, which when the processes are applied to those inputs, have the ability to contribute to the creation of outputs. The key input acquired in connection with the TOML Acquisition is the TOML Exploration Contract (Note 7) and the related intellectual property. The TOML Exploration Contract is in the development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the Company’s management deemed that the TOML Acquisition was not a business acquisition and only an acquisition of a group of assets.</w:t>
      </w:r>
    </w:p>
    <w:p>
      <w:pPr>
        <w:spacing w:after="0" w:line="19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Company’s position is supported by ASC 805’s guidance that if substantially all of the fair value of the gross assets acquired is concentrated in a single identifiable asset or a group of similar identifiable assets, the set is not considered a business. The value of the TOML Acquisition is considered to be primarily in the TOML Exploration Contract.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also determined that other assets acquired (which included other intangible assets such as patents and trademarks) were connected to the TOML Exploration Contract and would not hold value by themselves. The value of the total cost was therefore capitalized and reported as “Exploration contracts” on the Company’s balance sheet.</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Valuation of Share-Based Payments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TMC recognized the cost of share-based awards granted to employees, non-employees and directors based on the estimated grant-date fair value of the awards. Prior to closing of the Business Combination, TMC determined the fair value of stock options using the Black-Scholes option pricing model, which was impacted by the following assumptions:</w:t>
      </w:r>
    </w:p>
    <w:p>
      <w:pPr>
        <w:spacing w:after="0" w:line="176" w:lineRule="exact"/>
        <w:rPr>
          <w:sz w:val="20"/>
          <w:szCs w:val="20"/>
          <w:color w:val="auto"/>
        </w:rPr>
      </w:pPr>
    </w:p>
    <w:p>
      <w:pPr>
        <w:jc w:val="both"/>
        <w:ind w:left="680" w:hanging="321"/>
        <w:spacing w:after="0" w:line="255"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The Company estimated the value of its common shares using the Probability Weighted Expected Return Method (“PWERM”). The Company applied the PWERM by first defining the range of potential future liquidity outcomes, including the share price used for its most recent private placements and the share price used for the Business Combination, then allocating its value based on the probability of that event occurring.</w:t>
      </w:r>
    </w:p>
    <w:p>
      <w:pPr>
        <w:spacing w:after="0" w:line="2"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Term—TMC used the term of the award when calculating the expected term due to insufficient historical exercise data.</w:t>
      </w:r>
    </w:p>
    <w:p>
      <w:pPr>
        <w:ind w:left="680" w:right="20" w:hanging="321"/>
        <w:spacing w:after="0" w:line="25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Volatility—As TMC’s shares were not actively traded prior to closing of the Business Combination, the volatility is based on a benchmark of comparable companies within the mining industry.</w:t>
      </w:r>
    </w:p>
    <w:p>
      <w:pPr>
        <w:ind w:left="680" w:hanging="321"/>
        <w:spacing w:after="0" w:line="25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rate used is zero as TMC has never paid any cash dividends on common shares and does not anticipate doing so during the expected life of the stock options.</w:t>
      </w:r>
    </w:p>
    <w:p>
      <w:pPr>
        <w:ind w:left="680" w:hanging="321"/>
        <w:spacing w:after="0" w:line="260"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interest rates used are based on the implied yield available on Canadian Treasury zero-coupon issues with an equivalent remaining term equal to the expected life of the award.</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Prior to closing of the Business Combination, TMC estimated the fair value of common shares issued for services using the PWERM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Valuation of Warrants Liability</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76"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Accounting for Debt with Conversion and Other Options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(the “FASB”) issued Accounting Standards Update (“ASU”) 2020-06, </w:t>
      </w:r>
      <w:r>
        <w:rPr>
          <w:rFonts w:ascii="Times New Roman" w:cs="Times New Roman" w:eastAsia="Times New Roman" w:hAnsi="Times New Roman"/>
          <w:sz w:val="18"/>
          <w:szCs w:val="18"/>
          <w:i w:val="1"/>
          <w:iCs w:val="1"/>
          <w:color w:val="auto"/>
        </w:rPr>
        <w:t>“Debt – Debt with Conversion and Other Options (Subtopic 470-20) and Derivative and Hedging – Contracts in Entity’s Own Equity (Subtopic 815-40)”</w:t>
      </w:r>
      <w:r>
        <w:rPr>
          <w:rFonts w:ascii="Times New Roman" w:cs="Times New Roman" w:eastAsia="Times New Roman" w:hAnsi="Times New Roman"/>
          <w:sz w:val="18"/>
          <w:szCs w:val="18"/>
          <w:color w:val="auto"/>
        </w:rPr>
        <w:t>, which simplifies the accounting for convertible instruments by reducing the number of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and requiring that a convertible instrument be accounted for as a single liability measured at amortized cost. Further, ASU 2020-08 amended the earnings per share guidance by requiring the diluted earnings per share calculation for convertible instruments to follow the if-converted method, with the use of the treasury stock method no longer permitted. The ASU 2020-08 is effective for fiscal periods ending on or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13).</w:t>
      </w:r>
    </w:p>
    <w:p>
      <w:pPr>
        <w:spacing w:after="0" w:line="186"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20 trading days within any 30- trading day period that is greater than or equal to the specific trigger price for the respective class of Special Share. The trigger prices range from $15 per share to $200 per share.</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Business Combination, the SOAC sponsors were entitled to an additional 0.5 million Class I Special Shares and 0.7 million Class J Special Shares which are convertible to TMC common shares if TMC common shares trade for a price on any 20 trading days within any 30-trading day period that is greater than or equal to $50.00 per share and $12.00 per share, respectively.</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Lastly, the warrants granted to Allseas to acquire 10 million DeepGreen common shares at a nominal value (the “Allseas Warrants”) have been assumed by TMC and have become warrants to purchase 11.6 million TMC common shares, in accordance with its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the Special Shares and their respective vesting thresholds, assuming the full amount of Special Shares from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Rollover Options are issued:</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Special Share Class</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4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t>
            </w:r>
          </w:p>
        </w:tc>
        <w:tc>
          <w:tcPr>
            <w:tcW w:w="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42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Calibri" w:cs="Calibri" w:eastAsia="Calibri" w:hAnsi="Calibri"/>
                <w:sz w:val="18"/>
                <w:szCs w:val="18"/>
                <w:b w:val="1"/>
                <w:bCs w:val="1"/>
                <w:color w:val="auto"/>
              </w:rPr>
              <w:t>J</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Trigger price ($)</w:t>
            </w:r>
          </w:p>
        </w:tc>
        <w:tc>
          <w:tcPr>
            <w:tcW w:w="4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 Shares (million)</w:t>
            </w:r>
          </w:p>
        </w:tc>
        <w:tc>
          <w:tcPr>
            <w:tcW w:w="40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4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2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The following table reconciles the cash proceeds from the Business Combination:</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0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SOAC</w:t>
            </w: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proceeds from sale of equity securities</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received by TMC from Business Combination</w:t>
            </w: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Transaction costs settled in cash</w:t>
            </w: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contributions from Business Combination</w:t>
            </w: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104,465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addition to the transaction costs settled in cash above, the Company incurred $3.5 million of transaction costs which were settled by issuance of 873,953 common shares on October 7, 2021.</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SOAC had 30.0 million shares of Class A common shares with a par value of $0.0001 per share (“SOAC Class A Shares”) outstanding and 7.5 million shares of Class B common shares with a par value of $0.0001 per share (“SOAC Class B Shares”) held by Sustainable Opportunities Holdings LLC (the “Sponsor”).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number of TMC common shares issued immediately following the consummation of the Business Combination is summarized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by type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7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prior to the Business Combination</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r>
      <w:tr>
        <w:trPr>
          <w:trHeight w:val="216"/>
        </w:trPr>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Redemption of SOAC Class A shares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(27,278,657)</w:t>
            </w:r>
          </w:p>
        </w:tc>
      </w:tr>
      <w:tr>
        <w:trPr>
          <w:trHeight w:val="210"/>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SOAC Class A shares outstanding and converted to TMC common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2,721,343</w:t>
            </w: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in the Private Investment in Public Equity (“PIPE”)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11,030,000</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SOAC Class B shares to TMC common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6,759,000</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SOAC and PIPE investors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20,510,343</w:t>
            </w: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the DeepGreen shareholders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203,874,981</w:t>
            </w:r>
          </w:p>
        </w:tc>
      </w:tr>
      <w:tr>
        <w:trPr>
          <w:trHeight w:val="210"/>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TMC common shares outstanding at close of Business Combination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224,385,324</w:t>
            </w: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incurred transaction costs related to the Business Combination of approximately $42.1 million, of which $5.4 million, incurred prior to the closing of the Business Combination becoming probable, are included in general and administrative expenses on the consolidated statements of loss and other comprehensive loss. The remaining $36.7 million of transaction costs were capitalized to common shares on the consolidated balance sheet.</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of SOAC and recapitalize the equity of DeepGreen were recorded to common shares to reflect the effective issuance of common shares to SOAC and PIPE investors in the Business Combination.</w:t>
      </w:r>
    </w:p>
    <w:p>
      <w:pPr>
        <w:spacing w:after="0" w:line="158"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TOML Acquisition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31, 2020, the Company entered into an acquisition agreement to wholly acquire TOML and other entities in the group (the “TOML Group”) from Deep Sea Mining Finance Ltd. (“DSMF”) (the “TOML Acquisition”). Total purchase price of the TOML Acquisition, before transaction costs, was $32.0 million. TOML holds an ISA exploration contract in the CCZ (“TOML Exploration Contract”) and some exploration related equipment. The TOML Group also holds various patents and an application right with respect to a prospecting exploration contract in Kiribati.</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originally to be paid on January 31, 2021. The common share consideration paid by the Company was valued at $3.11 per common share, based on the private placements completed by DeepGreen around the time of the TOML Acquisition, for a total of $28.0 million.</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the option of settling the deferred consideration in either cash or common shares of the Company at its sole discretion. In January 2021, the arrangement with DSMF was amended to pay the entire deferred consideration with cash. The deferred consideration was fully settled on June 30, 2021.</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that the value of the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assets acquired as part of the TOML Acquisition were as follows: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assets acquired</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issued (9,005,595 common shares @ $3.11)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paid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10"/>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acquisition cost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Allocated to:</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Exploration contracts (Note 11)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16"/>
        </w:trPr>
        <w:tc>
          <w:tcPr>
            <w:tcW w:w="7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Deferred tax liability</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1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32,047</w:t>
            </w:r>
          </w:p>
        </w:tc>
      </w:tr>
      <w:tr>
        <w:trPr>
          <w:trHeight w:val="102"/>
        </w:trPr>
        <w:tc>
          <w:tcPr>
            <w:tcW w:w="24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2" w:lineRule="exact"/>
        <w:rPr>
          <w:sz w:val="20"/>
          <w:szCs w:val="20"/>
          <w:color w:val="auto"/>
        </w:rPr>
      </w:pPr>
    </w:p>
    <w:p>
      <w:pPr>
        <w:ind w:left="660" w:hanging="328"/>
        <w:spacing w:after="0" w:line="261" w:lineRule="auto"/>
        <w:tabs>
          <w:tab w:leader="none" w:pos="660"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deferred tax liability was recognized by the Company on the acquisition which related to differences between the book value and the tax basis of the TOML exploration contract.</w:t>
      </w:r>
    </w:p>
    <w:p>
      <w:pPr>
        <w:spacing w:after="0" w:line="16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Categories of Financial Instruments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84,873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Amortized cost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40" w:type="dxa"/>
            <w:vAlign w:val="bottom"/>
            <w:gridSpan w:val="3"/>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26,573</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Fair value through profit or loss - Warrants liability</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29,699</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7,756</w:t>
            </w:r>
          </w:p>
        </w:tc>
        <w:tc>
          <w:tcPr>
            <w:tcW w:w="0" w:type="dxa"/>
            <w:vAlign w:val="bottom"/>
          </w:tcPr>
          <w:p>
            <w:pPr>
              <w:spacing w:after="0"/>
              <w:rPr>
                <w:sz w:val="1"/>
                <w:szCs w:val="1"/>
                <w:color w:val="auto"/>
              </w:rPr>
            </w:pPr>
          </w:p>
        </w:tc>
      </w:tr>
      <w:tr>
        <w:trPr>
          <w:trHeight w:val="46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Receivables and Prepayments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2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receivables</w:t>
            </w: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486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movements in the Company’s capital equipment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 equipment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Office equipment</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TOML Acquisition (Note 7)</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9"/>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F-17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Contracts</w:t>
      </w:r>
    </w:p>
    <w:p>
      <w:pPr>
        <w:spacing w:after="0" w:line="225" w:lineRule="exact"/>
        <w:rPr>
          <w:rFonts w:ascii="Times New Roman" w:cs="Times New Roman" w:eastAsia="Times New Roman" w:hAnsi="Times New Roman"/>
          <w:sz w:val="18"/>
          <w:szCs w:val="18"/>
          <w:b w:val="1"/>
          <w:bCs w:val="1"/>
          <w:color w:val="auto"/>
        </w:rPr>
      </w:pPr>
    </w:p>
    <w:p>
      <w:pPr>
        <w:ind w:left="340" w:right="684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19) and provides NORI with the priority right to apply for an exploitation contract to collect polymetallic nodules in the same area.</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has a right to renounce, without penalty, in whole or part of its rights in the NORI Area at any time and therefore does not have a fixed commitment with relation to the NORI Exploration Contract (Note 19).</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83"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87"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2021, Marawa had no amounts owing to DGE under the Marawa Services Agreement and no purchase tenements had been granted to Marawa.</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(renewable for successive five-year periods) subject to complying with the exploration contract terms and a priority right to apply for an exploitation contract to collect polymetallic nodules in the same area.</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Strategic Partnerships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Marine Vessel Services: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Effective March 15, 2017, the Company entered into a strategic partnership with Maersk to undertake the exploration, environmental baseline and offshore testing required to support development of pre-feasibility studies for economic production of polymetallic nodules from the CCZ (the “Participation Agreement”). Under the Participation Agreement, Maersk provided marine vessel services and project management services, which enabled TMC to undertake the various offshore campaigns to support required pre-feasibility studies. During these offshore campaigns, TMC undertook baseline studies required to complete an Environmental and Social Impact Assessment (“ESIA”), collected nodules for metallurgical test work and collected samples and survey data for resource evaluation. Prior to February 5, 2021, the costs related to the marine vessel use were settled through the issuance of DeepGreen common shares, the number of which was based on a contractual price of $1.08 per common share. Project management services provided by Maersk for managing these offshore campaigns are paid in cash.</w:t>
      </w:r>
    </w:p>
    <w:p>
      <w:pPr>
        <w:spacing w:after="0" w:line="18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8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costs to Maersk for offshore campaigns of $33.9 million (2020: $25.6 million). These costs were settled with the issuance of 4.2 million TMC common shares to Maersk at $6.05 per common share (2020: 4.7 million TMC common shares at $3.11 per common share), with the balance of $21.3 million (2020: $4.4 million) settled or to be settled in cash. As at December 31, 2021, TMC had outstanding payables to Maersk of $11.3 million (2020: $1.8 million) included in accounts payable and accrued liabilities. Subsequent to December 31, 2021, $3.5 million of the $11.3 million was settled in cash.</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 with Maersk ended in January 2022, following the completion of the NORI Area D baseline campaigns.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Maersk owned 20.8 million TMC common shares (2020: 16.6 million TMC common shares) which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constituted 9.2% (2020: 8.8%) of the total common shares outstanding of the Company.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Upon successful completion of the pilot trial of the PMTS in NORI Area D, the Company and Allseas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18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trial of the PMTS in NORI Area D by Allseas, the Company agreed to pay Allseas: (a) $30.0 million in cash and (b) issue 11.6 million common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Amendments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 xml:space="preserve">On February 20, 2020, the PMTA was amended to recognize the acquisition by Allseas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former drillship to be converted into a surface production vessel that would first be used as part of the PMTS, and later as part of the commercial production system. The Company paid an additional: (a) $10.0 million in cash and (b) $10.0 million by issuing 3.2 million common shares valued at $3.11 per share.</w:t>
      </w:r>
    </w:p>
    <w:p>
      <w:pPr>
        <w:spacing w:after="0" w:line="18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March 4, 2021 and June 30, 2021, the Company and Allseas further amended the PMTA whereby, instead of issuing 11.6 million common shares upon successful delivery of the pilot trial of the PMTS in NORI Area D, the Company issued the Allseas Warrants (Note 14).</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amendment on March 4, 2021 stipulated that if the market price of the Company’s common shares on June 1, 2022 is higher than $12.95 per common share, the aggregate value of the common shares underlying the Allseas Warrants above $150 million as at June 1, 2022 will automatically become a commercial credit from Allseas to the Company equal to the excess value. This commercial credit will be effective on the vesting date of the Allseas Warrants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contract amendments also restructured the original $30.0 million lump sum cash payment upon successful delivery of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PMTS to:</w:t>
      </w:r>
    </w:p>
    <w:p>
      <w:pPr>
        <w:spacing w:after="0" w:line="207" w:lineRule="exact"/>
        <w:rPr>
          <w:sz w:val="20"/>
          <w:szCs w:val="20"/>
          <w:color w:val="auto"/>
        </w:rPr>
      </w:pPr>
    </w:p>
    <w:p>
      <w:pPr>
        <w:ind w:left="680" w:right="20" w:hanging="321"/>
        <w:spacing w:after="0" w:line="261" w:lineRule="auto"/>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ind w:left="680" w:hanging="32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on the later of (i) January 1, 2022, and (ii) confirmation of successful completion of the North Sea drive test;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upon successful completion of the pilot trial of the PMTS in NORI Area 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w:t>
      </w:r>
    </w:p>
    <w:p>
      <w:pPr>
        <w:spacing w:after="0" w:line="17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first two milestone payments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 these payments represented progress payments. Accordingly, the Company expenses the payments according to when the services are performed. The research and development related services commenced in July 2019 and are expected to be performed through January 2023. Therefore, the Company records the expense on a straight-line basis over the life of the contract which resulted in total expenses of $14.3 million recorded as exploration and evaluation expenses for the year ended December 31, 2021. The Company will record the expense and liability for the third milestone payment upon successful completion of the pilot trial of the PMTS in the NORI Area D. The Company has not recorded a liability for the third payment as at December 31, 2021.</w:t>
      </w:r>
    </w:p>
    <w:p>
      <w:pPr>
        <w:spacing w:after="0" w:line="18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Allseas owned 16.2 million TMC common shares (2020: 14.2 million TMC common shares) which constituted 7.2% (2020: 7.5%) of total common shares outstanding. The Allseas total share ownership includes 3.2 million shares issued in a private placement in June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exploration contracts is as follows: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NORI</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TOML</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42,701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42,701</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42,701</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43,150</w:t>
            </w:r>
          </w:p>
        </w:tc>
      </w:tr>
      <w:tr>
        <w:trPr>
          <w:trHeight w:val="42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4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The detail of exploration and evaluation expenses is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NORI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0" w:type="dxa"/>
            <w:vAlign w:val="bottom"/>
          </w:tcPr>
          <w:p>
            <w:pPr>
              <w:spacing w:after="0"/>
              <w:rPr>
                <w:sz w:val="18"/>
                <w:szCs w:val="18"/>
                <w:color w:val="auto"/>
              </w:rPr>
            </w:pPr>
          </w:p>
        </w:tc>
        <w:tc>
          <w:tcPr>
            <w:tcW w:w="11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26,970</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6,788</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93,006</w:t>
            </w:r>
          </w:p>
        </w:tc>
      </w:tr>
      <w:tr>
        <w:trPr>
          <w:trHeight w:val="41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NORI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TOML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0" w:type="dxa"/>
            <w:vAlign w:val="bottom"/>
          </w:tcPr>
          <w:p>
            <w:pPr>
              <w:spacing w:after="0"/>
              <w:rPr>
                <w:sz w:val="18"/>
                <w:szCs w:val="18"/>
                <w:color w:val="auto"/>
              </w:rPr>
            </w:pPr>
          </w:p>
        </w:tc>
        <w:tc>
          <w:tcPr>
            <w:tcW w:w="11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r>
      <w:tr>
        <w:trPr>
          <w:trHeight w:val="216"/>
        </w:trPr>
        <w:tc>
          <w:tcPr>
            <w:tcW w:w="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5,625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4,708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General and Administrative Expenses</w:t>
            </w: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3"/>
        </w:trPr>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sundry</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filing fees</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Administration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56,583</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7,723</w:t>
            </w:r>
          </w:p>
        </w:tc>
      </w:tr>
    </w:tbl>
    <w:p>
      <w:pPr>
        <w:spacing w:after="0" w:line="207"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issued a total of $26 million in convertible debentures. The convertible debentures had an interest rate of 7.0% per annum, compounded annually, and had a maturity date of 24 months from the date of issuance.</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debentures were convertible into shares of the Company at anytime at the conversion price of $8.64 per common share. Unless any accrued interest was converted prior to the maturity date, all accrued and unpaid interest was payable at the maturity date in TMC common shares at a conversion price of $8.64 per common share.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convertible debentures provided that in the event that the Company completed the Business Combination (Note 6) or another change of control transaction at any time prior to the maturity date, the debenture value would be automatically converted into common shares at the conversion price immediately prior to the Business Combination or the change of control transaction. If the debentures, or any portion thereof, were not converted by the holder upon the earlier of the maturity date or the completion of the Business Combination or the change of control transaction, the outstanding debenture value would automatically convert into common shares at the conversion price of $8.64 per common share.</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18, 2021, convertible debentures with a principal amount of $0.5 million were converted into 57,894 common shares of the Company.</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9, 2021, the Company issued 3,068,673 common shares upon conversion of the outstanding debentures consisting of $25.5 million and $1.0 million of principal and accrued interest, respectively.</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Public Warrants and Private Warrants as part of the Business Combination (Note 6).</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whole Public Warrant entitles the holder to purchase one TMC common share at a price of $11.50 per share beginning on October 9, 2021. As at December 31, 2021,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October 7, 2021, the Company filed a Registration Statement on Form S-1 with respect to the common shares underlying the Public Warrants, as well as the Private Warrants, which was declared effective by the SEC on October 22, 2021.</w:t>
      </w:r>
    </w:p>
    <w:p>
      <w:pPr>
        <w:spacing w:after="0" w:line="19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is required to file a post-effective amendment to this Registration Statement on Form S-1, which will need to be declared effective by the SEC, following the Company’s filing of its Annual Report on Form 10-K for the year ended December 31, 2021 in which these Notes to the Consolidated Financial Statements are included to update the information and financial statements included therein.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may call the Public Warrants for redemption:</w:t>
      </w:r>
    </w:p>
    <w:p>
      <w:pPr>
        <w:spacing w:after="0" w:line="225" w:lineRule="exact"/>
        <w:rPr>
          <w:sz w:val="20"/>
          <w:szCs w:val="20"/>
          <w:color w:val="auto"/>
        </w:rPr>
      </w:pPr>
    </w:p>
    <w:p>
      <w:pPr>
        <w:ind w:left="1000" w:hanging="317"/>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9"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76" w:lineRule="exact"/>
        <w:rPr>
          <w:sz w:val="20"/>
          <w:szCs w:val="20"/>
          <w:color w:val="auto"/>
        </w:rPr>
      </w:pPr>
    </w:p>
    <w:p>
      <w:pPr>
        <w:jc w:val="both"/>
        <w:ind w:left="1000" w:hanging="317"/>
        <w:spacing w:after="0" w:line="257"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Fair Market Value,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2021, the value of outstanding Public Warrants of $19.5 million was recorded in additional paid in capital.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December 31, 2021,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0"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exercisable for cash or on a cashless basis, at the holder’s option,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not redeemable by the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0" w:lineRule="exact"/>
        <w:rPr>
          <w:sz w:val="20"/>
          <w:szCs w:val="20"/>
          <w:color w:val="auto"/>
        </w:rPr>
      </w:pPr>
    </w:p>
    <w:p>
      <w:pPr>
        <w:jc w:val="both"/>
        <w:ind w:left="1000" w:hanging="317"/>
        <w:spacing w:after="0" w:line="261"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In December 2021, the Private Warrants were transferred to permitted transferees.</w:t>
      </w:r>
    </w:p>
    <w:p>
      <w:pPr>
        <w:spacing w:after="0" w:line="17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evaluated the Private Warrants under ASC 815-40, in conjunction with the SEC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8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3" w:lineRule="exact"/>
        <w:rPr>
          <w:sz w:val="20"/>
          <w:szCs w:val="20"/>
          <w:color w:val="auto"/>
        </w:rPr>
      </w:pPr>
    </w:p>
    <w:p>
      <w:pPr>
        <w:jc w:val="both"/>
        <w:ind w:left="340" w:firstLine="39"/>
        <w:spacing w:after="0" w:line="282" w:lineRule="auto"/>
        <w:rPr>
          <w:sz w:val="20"/>
          <w:szCs w:val="20"/>
          <w:color w:val="auto"/>
        </w:rPr>
      </w:pPr>
      <w:r>
        <w:rPr>
          <w:rFonts w:ascii="Times New Roman" w:cs="Times New Roman" w:eastAsia="Times New Roman" w:hAnsi="Times New Roman"/>
          <w:sz w:val="18"/>
          <w:szCs w:val="18"/>
          <w:color w:val="auto"/>
        </w:rPr>
        <w:t>As at December 31, 2021, the fair value of outstanding Private Warrants of $3.1 million is recorded as warrants liability. The following table presents the changes in the fair value of warrants liability: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38"/>
        </w:trPr>
        <w:tc>
          <w:tcPr>
            <w:tcW w:w="7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September 9,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Reduction in fair value of warrants liability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December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December 31, 2021, the fair value of the Private Warrants was estimated using the following assumptions: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9,</w:t>
            </w:r>
          </w:p>
        </w:tc>
      </w:tr>
      <w:tr>
        <w:trPr>
          <w:trHeight w:val="238"/>
        </w:trPr>
        <w:tc>
          <w:tcPr>
            <w:tcW w:w="3200" w:type="dxa"/>
            <w:vAlign w:val="bottom"/>
          </w:tcPr>
          <w:p>
            <w:pPr>
              <w:spacing w:after="0"/>
              <w:rPr>
                <w:sz w:val="20"/>
                <w:szCs w:val="20"/>
                <w:color w:val="auto"/>
              </w:rPr>
            </w:pPr>
          </w:p>
        </w:tc>
        <w:tc>
          <w:tcPr>
            <w:tcW w:w="400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20"/>
                <w:szCs w:val="20"/>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7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year ended December 31,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Allseas Warrants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Since the Allseas Warrants vest upon the achievement of a performance condition, being the completion of the PMTS, under U.S. GAAP, the vesting of the Allseas Warrants was not determined to be probable as at December 31, 2021. No expense or liability has been recorded as at and for the year ended December 31, 2021.</w:t>
      </w:r>
    </w:p>
    <w:p>
      <w:pPr>
        <w:spacing w:after="0" w:line="197" w:lineRule="exact"/>
        <w:rPr>
          <w:sz w:val="20"/>
          <w:szCs w:val="20"/>
          <w:color w:val="auto"/>
        </w:rPr>
      </w:pPr>
    </w:p>
    <w:p>
      <w:pPr>
        <w:ind w:left="340" w:right="7840" w:hanging="332"/>
        <w:spacing w:after="0" w:line="532" w:lineRule="auto"/>
        <w:tabs>
          <w:tab w:leader="none" w:pos="34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2021, the authorized, issued and outstanding common shares and Special Shares of the Company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38"/>
        </w:trPr>
        <w:tc>
          <w:tcPr>
            <w:tcW w:w="5720" w:type="dxa"/>
            <w:vAlign w:val="bottom"/>
          </w:tcPr>
          <w:p>
            <w:pPr>
              <w:spacing w:after="0"/>
              <w:rPr>
                <w:sz w:val="20"/>
                <w:szCs w:val="20"/>
                <w:color w:val="auto"/>
              </w:rPr>
            </w:pP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Unlimited, with no par value</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225,432,493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A Special Shares</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4,448,259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C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8,896,399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E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G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H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22,241,179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Class I Special Shares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500,000, with no par value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J Special Shares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741,000, with no par value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the Company’s common shares are entitled to one vote for each common share held.</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 The trigger prices range from $15 per share to $200 per share (refer to Note 6 for details). As the Special Shares meet the indexation and equity classification criteria under ASC 815-40, the Special Shares have been classified as equity instruments at issuance.</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at December 31, 2020, the Company had 509,459 DeepGreen Class B Preferred Shares outstanding. Class B Preferred Shares were non-dividend earning and include voting rights similar to common shares. However, if any dividend was declared on common shares, the Company was required to concurrently declare and pay dividend on Class B Preferred Shares in the amount per share equal to the dividend per share paid on the common shares. These Class B Preferred Shares rank ahead of common shares in the event of liquidation. As at December 31, 2021, all Class B Preferred Shares have been converted to common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 Continuity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accordance with ASC 805,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163,331,904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79,824</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6,553,409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 incurred – Cash</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 incurred - Stock option-based 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 TOML Acquisition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9,005,595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24,866</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2,605,189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189,493,593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154,431</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for services </w:t>
            </w:r>
            <w:r>
              <w:rPr>
                <w:rFonts w:ascii="Times New Roman" w:cs="Times New Roman" w:eastAsia="Times New Roman" w:hAnsi="Times New Roman"/>
                <w:sz w:val="18"/>
                <w:szCs w:val="18"/>
                <w:i w:val="1"/>
                <w:iCs w:val="1"/>
                <w:color w:val="auto"/>
              </w:rPr>
              <w:t>(Note 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4,432,606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6,312,756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Conversion of restricted share units </w:t>
            </w:r>
            <w:r>
              <w:rPr>
                <w:rFonts w:ascii="Times New Roman" w:cs="Times New Roman" w:eastAsia="Times New Roman" w:hAnsi="Times New Roman"/>
                <w:sz w:val="18"/>
                <w:szCs w:val="18"/>
                <w:i w:val="1"/>
                <w:iCs w:val="1"/>
                <w:color w:val="auto"/>
              </w:rPr>
              <w:t>(Note 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Issued in Business Combination </w:t>
            </w:r>
            <w:r>
              <w:rPr>
                <w:rFonts w:ascii="Times New Roman" w:cs="Times New Roman" w:eastAsia="Times New Roman" w:hAnsi="Times New Roman"/>
                <w:sz w:val="18"/>
                <w:szCs w:val="18"/>
                <w:i w:val="1"/>
                <w:iCs w:val="1"/>
                <w:color w:val="auto"/>
              </w:rPr>
              <w:t>(Note 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21,384,296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72,411</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Conversion of debentures </w:t>
            </w:r>
            <w:r>
              <w:rPr>
                <w:rFonts w:ascii="Times New Roman" w:cs="Times New Roman" w:eastAsia="Times New Roman" w:hAnsi="Times New Roman"/>
                <w:sz w:val="18"/>
                <w:szCs w:val="18"/>
                <w:i w:val="1"/>
                <w:iCs w:val="1"/>
                <w:color w:val="auto"/>
              </w:rPr>
              <w:t>(Note 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3,126,567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27,003</w:t>
            </w: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225,432,493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296,051</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24,682,386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 As described in Note 6, existing DeepGreen options were automatically adopted by TMC after application of the Exchange Ratio to both the underlying number of common shares and the exercise price and provided for additional Special Shares to be issued to option holders on a pro-rata basis, if exercised. The Rollover Options did not change in value as a result of the Business Combination. Comparative information below has been restated by adjusting for the number of options and exercise prices for the Exchange Ratio.</w:t>
      </w:r>
    </w:p>
    <w:p>
      <w:pPr>
        <w:spacing w:after="0" w:line="18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at December 31, 2021, there were 15,503,748 stock options outstanding under the Company’s Short-Term Incentive Plan (“STIP”) and 9,783,922 stock options outstanding under the Company’s Long-Term Incentive Plan (“LTIP”). The Company grants awards under the STIP and LTIP under its equity incentive plans in effect at the time of the award. The stock options currently outstanding were granted under DeepGreen’s equity incentive plan. No new stock options have been granted under the Company’s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of the Company’s stock options in the Company’s STIP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16"/>
        </w:trPr>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38"/>
        </w:trPr>
        <w:tc>
          <w:tcPr>
            <w:tcW w:w="49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19,656,145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(6,310,593)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09"/>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 – December 31,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17,406</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options granted and outstanding under the Company’s STIP as at December 31, 2021 is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life to expiry</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5, 2022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March 5, 2025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0.22 - $0.52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June 1, 2028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0.65 - $8.64</w:t>
            </w: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12,192,914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11,404,926</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1,273,648</w:t>
            </w:r>
          </w:p>
        </w:tc>
      </w:tr>
      <w:tr>
        <w:trPr>
          <w:trHeight w:val="210"/>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15,503,748</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14,175,425</w:t>
            </w: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STIP stock options that vested during the year ended December 31, 2021, was $30.7 million. As at December 31, 2021, total unrecognized share-based compensation expense of $2.7 million is expected to be recognized over a weighted-average recognition period of approximately one year.</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9,783,922 stock options under its LTIP. These stock options have an exercise price of $0.65 per option and expire on June 1, 2028. The aggregate intrinsic value of LTIP stock options as at December 31, 2021 was $14.0 million. None of the LTIP stock options were exercisable on December 31, 2021. The Company expects LTIP options to vest as and when the market and performance milestones described below are achieved. As at December 31, 2021, total unrecognized share-based compensation expense for the LTIP stock options was $30.1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 at December 31, 2021, the fair value of the Company’s common shares was $2.08 per share. As at December 31, 2021, the Company used the closing market price of its common shares to determine the intrinsic value of outstanding stock options. Prior to closing of the Business Combination on September 9, 2021, there was no quoted market price for the Company’s common shares. Accordingly, the Company estimated the fair value of common shares based on the PWERM by first defining the range of potential future liquidity outcomes, including the share price used for its most recent private placements and the share price used for the Business Combination, then allocating its value based on the probability of that event occurring. The approach involves estimates, judgments and assumptions that are highly complex and subjective. Changes in any or all of these estimates and assumptions, or the relationships between these assumptions, impact the Company’s valuation of its common shares as of each valuation date which may have a material impact on the valuation of the Company’s common shares and equity awards for accounting purposes.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 ended December 31, 2021 was $39.4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Activity and Valuation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February 17, 2021, the Company granted a total of 568,120 incentive stock options to certain directors and non-employees. These options have an exercise price of between $0.22 per share and $0.65 per share, vested immediately upon grant, and expire between February 17, 2026 and February 26, 2026.</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February 26, 2021, the Company granted a total of 46,777 incentive stock options to a consultant. These options have an exercise price of $0.22 per share, vested immediately upon grant, and expire on February 26, 2026.</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March 4, 2021, the Company granted 5,758,306 incentive stock options to certain employees, directors and consultants under the Company’s STIP, as well as 9,783,922 incentive stock options to the same individuals under its LTIP.</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STIP expire on June 1, 2028 or earlier, have exercise prices ranging between $0.65 per share and $8.64 per share, and have vesting periods with a maximum of three years.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under the Company’s STIP was estimated on the date of grant using the Black-Scholes option pricing model, with the following weighted average assumptions: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1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stock options granted under the LTIP have an exercise price of $0.65 per share and expire on June 1, 2028. The LTIP awards vest as follows:</w:t>
      </w:r>
    </w:p>
    <w:p>
      <w:pPr>
        <w:spacing w:after="0" w:line="162" w:lineRule="exact"/>
        <w:rPr>
          <w:sz w:val="20"/>
          <w:szCs w:val="20"/>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1 - 25% when the Company’s market capitalization equals $3 billion;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2 - 35% when the Company’s market capitalization equals $6 billion;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3 - 20% upon the date that the ISA grants an exploitation contract to the Company;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 upon the commencement of the first commercial production following the grant of the exploitation contract.</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2021,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8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fair value of awards granted under the LTIP was estimated on the date of grant using the following weighted average assumptions: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Tranche 1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46"/>
        </w:trPr>
        <w:tc>
          <w:tcPr>
            <w:tcW w:w="24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350"/>
              <w:spacing w:after="0" w:line="246" w:lineRule="exact"/>
              <w:rPr>
                <w:sz w:val="20"/>
                <w:szCs w:val="20"/>
                <w:color w:val="auto"/>
              </w:rPr>
            </w:pPr>
            <w:r>
              <w:rPr>
                <w:rFonts w:ascii="Times New Roman" w:cs="Times New Roman" w:eastAsia="Times New Roman" w:hAnsi="Times New Roman"/>
                <w:sz w:val="18"/>
                <w:szCs w:val="18"/>
                <w:b w:val="1"/>
                <w:bCs w:val="1"/>
                <w:color w:val="auto"/>
              </w:rPr>
              <w:t>Tranche 2</w:t>
            </w:r>
            <w:r>
              <w:rPr>
                <w:rFonts w:ascii="Times New Roman" w:cs="Times New Roman" w:eastAsia="Times New Roman" w:hAnsi="Times New Roman"/>
                <w:sz w:val="26"/>
                <w:szCs w:val="26"/>
                <w:b w:val="1"/>
                <w:bCs w:val="1"/>
                <w:color w:val="auto"/>
                <w:vertAlign w:val="superscript"/>
              </w:rPr>
              <w:t>1</w:t>
            </w:r>
          </w:p>
        </w:tc>
        <w:tc>
          <w:tcPr>
            <w:tcW w:w="1280" w:type="dxa"/>
            <w:vAlign w:val="bottom"/>
            <w:gridSpan w:val="3"/>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Tranche 3</w:t>
            </w:r>
            <w:r>
              <w:rPr>
                <w:rFonts w:ascii="Times New Roman" w:cs="Times New Roman" w:eastAsia="Times New Roman" w:hAnsi="Times New Roman"/>
                <w:sz w:val="26"/>
                <w:szCs w:val="26"/>
                <w:b w:val="1"/>
                <w:bCs w:val="1"/>
                <w:color w:val="auto"/>
                <w:vertAlign w:val="superscript"/>
              </w:rPr>
              <w:t>2</w:t>
            </w:r>
          </w:p>
        </w:tc>
        <w:tc>
          <w:tcPr>
            <w:tcW w:w="1300" w:type="dxa"/>
            <w:vAlign w:val="bottom"/>
            <w:gridSpan w:val="3"/>
          </w:tcPr>
          <w:p>
            <w:pPr>
              <w:spacing w:after="0" w:line="246" w:lineRule="exact"/>
              <w:rPr>
                <w:sz w:val="20"/>
                <w:szCs w:val="20"/>
                <w:color w:val="auto"/>
              </w:rPr>
            </w:pPr>
            <w:r>
              <w:rPr>
                <w:rFonts w:ascii="Times New Roman" w:cs="Times New Roman" w:eastAsia="Times New Roman" w:hAnsi="Times New Roman"/>
                <w:sz w:val="18"/>
                <w:szCs w:val="18"/>
                <w:b w:val="1"/>
                <w:bCs w:val="1"/>
                <w:color w:val="auto"/>
              </w:rPr>
              <w:t>Tranche 4</w:t>
            </w:r>
            <w:r>
              <w:rPr>
                <w:rFonts w:ascii="Times New Roman" w:cs="Times New Roman" w:eastAsia="Times New Roman" w:hAnsi="Times New Roman"/>
                <w:sz w:val="26"/>
                <w:szCs w:val="26"/>
                <w:b w:val="1"/>
                <w:bCs w:val="1"/>
                <w:color w:val="auto"/>
                <w:vertAlign w:val="superscript"/>
              </w:rPr>
              <w:t>2</w:t>
            </w:r>
          </w:p>
        </w:tc>
      </w:tr>
      <w:tr>
        <w:trPr>
          <w:trHeight w:val="210"/>
        </w:trPr>
        <w:tc>
          <w:tcPr>
            <w:tcW w:w="4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years</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years</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years</w:t>
            </w: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0.9 %</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per share fair value of the Company’s common shares</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r>
      <w:tr>
        <w:trPr>
          <w:trHeight w:val="108"/>
        </w:trPr>
        <w:tc>
          <w:tcPr>
            <w:tcW w:w="246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72" w:lineRule="exact"/>
        <w:rPr>
          <w:sz w:val="20"/>
          <w:szCs w:val="20"/>
          <w:color w:val="auto"/>
        </w:rPr>
      </w:pPr>
    </w:p>
    <w:p>
      <w:pPr>
        <w:ind w:left="660" w:right="20" w:hanging="328"/>
        <w:spacing w:after="0" w:line="233" w:lineRule="auto"/>
        <w:tabs>
          <w:tab w:leader="none" w:pos="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market-based awards granted under the LTIP was estimated on the date of grant using a Monte-Carlo model to simulate a distribution of future share prices.</w:t>
      </w:r>
    </w:p>
    <w:p>
      <w:pPr>
        <w:ind w:left="660" w:hanging="328"/>
        <w:spacing w:after="0"/>
        <w:tabs>
          <w:tab w:leader="none" w:pos="6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performance-based awards granted under the LTIP was estimated on the date of grant using the Black-Scholes option pricing model.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these assumptions could have a material impact on the Company’s loss and comprehensive loss.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September 2021, the Board of Directors approved amendments for certain stock option grants to extend their term beyond the retirement provisions in the Plan, resulting in an expense of $3.9 million.</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$59.3 million of share-based compensation expense for stock options in the statement of loss and comprehensive loss (2020: $4.1 million).</w:t>
      </w:r>
    </w:p>
    <w:p>
      <w:pPr>
        <w:spacing w:after="0" w:line="162"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stock options totaling $32.7 million related to general and administration matters were charged to the statement of loss and comprehensive loss for the year ended December 31, 2021 (2020: $3.3 million). The Company recorded a total of $26.6 million of share-based compensation expense for stock options related to exploration and evaluation activities for the year ended December 31, 2021 (2020: $0.8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whether to the STIP, the LTIP or otherwise. During the year ended December 31, 2021, the Company granted 3,556,224 RSUs vesting in thirds on each anniversary of the grant date, 398,438 RSUs vesting in fourths on each anniversary of the grant date and 173,216 RSUs vesting immediately on grant date. On each vesting date, RSU holders are entitled to receive common shares equivalent to the number of RSUs held provided the holder is providing service to the Company on such vesting date. A total of $1.0 million was charged to the statement of loss and comprehensive loss as share-based compensation expense for the year ended December 31, 2021, of which $0.4 million was recorded in exploration and evaluation expenses and $0.6 million was recorded in general and administrative expenses. As at December 31, 2021, total unrecognized share-based compensation expense for RSUs was $12.3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RSU activity is presented in the table below:</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3"/>
        </w:trPr>
        <w:tc>
          <w:tcPr>
            <w:tcW w:w="6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66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38"/>
        </w:trPr>
        <w:tc>
          <w:tcPr>
            <w:tcW w:w="66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 RSU</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4,127,878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3,946,630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grant date fair value of RSUs is equivalent to the closing share price of the Company’s common shares on the date of grant. As at December 31, 2021, there were no RSUs vested and exercisable.</w:t>
      </w:r>
    </w:p>
    <w:p>
      <w:pPr>
        <w:spacing w:after="0" w:line="158"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16"/>
        </w:trPr>
        <w:tc>
          <w:tcPr>
            <w:tcW w:w="6680" w:type="dxa"/>
            <w:vAlign w:val="bottom"/>
          </w:tcPr>
          <w:p>
            <w:pPr>
              <w:spacing w:after="0"/>
              <w:rPr>
                <w:sz w:val="18"/>
                <w:szCs w:val="18"/>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15,549,977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3,946,630</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201,552,884</w:t>
            </w:r>
          </w:p>
        </w:tc>
        <w:tc>
          <w:tcPr>
            <w:tcW w:w="2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15,549,977</w:t>
            </w:r>
          </w:p>
        </w:tc>
      </w:tr>
    </w:tbl>
    <w:p>
      <w:pPr>
        <w:spacing w:after="0" w:line="207"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DGE, is engaged in a consulting agreement with SSCS Pte. Ltd. (“SSCS”) to manage offshore engineering studies. A director of DGE is employed through SSCS. Consulting services during the year ended December 31, 2021 totaled $275 thousand (2020: $275 thousand), and are disclosed as external consulting and exploration labor within exploration and evaluation expenses (Note 11). As at December 31, 2021, the amount payable to SSCS was $23 thousand (2020: $23 thousand).</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year ended December 31, 2021 amounted to $375 thousand (2020: $367 thousand), and are disclosed as exploration labor within exploration and evaluation expenses (Note 11). As at December 31, 2021, the amount payable to Ocean Renaissance was $nil (2020 - $nil).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6440" w:hanging="332"/>
        <w:spacing w:after="0" w:line="503" w:lineRule="auto"/>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(Note 11), NORI submitted a periodic review report to the ISA in 2021, covering the 2017-2021 period. NORI had committed to spend $5 million over the five-year period from 2017 to 2021, which it has exceeded. The periodic review report included a summary of work completed over the 5-year period and a program of activities and estimated budget for the next five-year period. The report is being reviewed by the ISA.</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DGE’s Marawa Option Agreement and Services Agreement with Marawa with respect to the Marawa Area (Note 11), Marawa committed to spend a defined amount of funds on exploration activities on an annual basis. The commitment for fiscal 2021 and 2020 was Australian dollar $2 million and Australian dollar $1 million, respectively. The spending commitment for both years has been exceeded. The commitment for fiscal 2022, 2023 and 2024 is Australian dollar $1 million, Australian dollar $3 million and Australian dollar $2 million, respectively. Such commitment is negotiated with the ISA as part of the five-year plans submissions and is subject to regular periodic reviews.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2021 year, the Company has spent approximately $8.1 million in connection with the TOML Exploration Contract, bringing the five-year total spend to approximately $13.3 million, from 2017 to 2021.</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Discussions with the ISA are underway to review the progress achieved to date and agree on program activities for the next 5-years.</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Gerard Barron and Scott Leonard</w:t>
      </w:r>
      <w:r>
        <w:rPr>
          <w:rFonts w:ascii="Times New Roman" w:cs="Times New Roman" w:eastAsia="Times New Roman" w:hAnsi="Times New Roman"/>
          <w:sz w:val="18"/>
          <w:szCs w:val="18"/>
          <w:color w:val="auto"/>
        </w:rPr>
        <w:t>. The complaint alleges that all defendants violated Section 10(b)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Supplemental Cash Flow Information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34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 to settle previous services (Note 11)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for TOML Acquisition (Note 7)</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contribution from Allseas (Note 11)</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r>
      <w:tr>
        <w:trPr>
          <w:trHeight w:val="216"/>
        </w:trPr>
        <w:tc>
          <w:tcPr>
            <w:tcW w:w="3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debentures (Note 13)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stock options issued (Note 16)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bl>
    <w:p>
      <w:pPr>
        <w:spacing w:after="0" w:line="207"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09"/>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Effective Tax Rate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Canadian federal and provincial tax for the estimated assessable profit for the years ended December 31, 2020 and 2021 at a rate of 27%. The Company had no assessable profit in Canada for all periods disclosed.</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at statutory rates for the Company can be reconciled to the reported loss for the years 2021 and 2020 per the statement of loss and comprehensive loss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Canadian Federal and Provincial income tax rates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27.00 %</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based on the above rates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differences in future and foreign tax rates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Expiry of losses as a result of the Business Combination (Note 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 changes affecting the provision of income taxes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tcBorders>
              <w:bottom w:val="single" w:sz="8" w:color="CCEEFF"/>
            </w:tcBorders>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has no uncertain tax positions and is therefore not reflecting any adjustments.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the Company’s deferred income tax assets/(liabilities)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Non-capital losses</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losses and other</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 issuance costs</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5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 recognized</w:t>
            </w:r>
          </w:p>
        </w:tc>
        <w:tc>
          <w:tcPr>
            <w:tcW w:w="5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Difference between the book value and the tax basis of the TOML</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exploration contract (Note 7)</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 recognized</w:t>
            </w:r>
          </w:p>
        </w:tc>
        <w:tc>
          <w:tcPr>
            <w:tcW w:w="5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8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Expiry Date 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 losses</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Capital losses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2021, the Company had non-capital loss carry-forwards of $34 million that may be used to offset future taxable income. Non-capital losses incurred in Canada prior to closing of the Business Combination (Note 6) have been restricted upon the acquisition of control event and may no longer be available to offset future taxable income.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losses, if not utilized, will expire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2041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expiry</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carry-forwards</w:t>
            </w: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17,738</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13"/>
        </w:trPr>
        <w:tc>
          <w:tcPr>
            <w:tcW w:w="7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As at December 31, 2020, the non-capital loss carry-forwards of $45 million pertained to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5"/>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Tonga</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carry-forwards</w:t>
            </w:r>
          </w:p>
        </w:tc>
        <w:tc>
          <w:tcPr>
            <w:tcW w:w="360" w:type="dxa"/>
            <w:vAlign w:val="bottom"/>
            <w:tcBorders>
              <w:top w:val="single" w:sz="8" w:color="auto"/>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20,704</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10,214</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14,392</w:t>
            </w:r>
          </w:p>
        </w:tc>
      </w:tr>
    </w:tbl>
    <w:p>
      <w:pPr>
        <w:spacing w:after="0" w:line="198"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Canada, the United States, Singapore and Tonga, and is subject to examination in these jurisdictions for all years since the Company’s inception in 2011. As at December 31, 2021,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at December 31, 2021, the 2021 tax year filings for the Company and its subsidiaries (where applicable) remain unfiled and have not been assessed by the relative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gridSpan w:val="3"/>
            <w:vMerge w:val="restart"/>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gridSpan w:val="3"/>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Exploration contracts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226,780,843 (December 31,</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2021 – 225,432,493))</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(Restated</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6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21,117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number of common shares outstanding </w:t>
            </w:r>
            <w:r>
              <w:rPr>
                <w:rFonts w:ascii="Calibri" w:cs="Calibri" w:eastAsia="Calibri" w:hAnsi="Calibri"/>
                <w:sz w:val="18"/>
                <w:szCs w:val="18"/>
                <w:b w:val="1"/>
                <w:bCs w:val="1"/>
                <w:color w:val="auto"/>
              </w:rPr>
              <w:t>—</w:t>
            </w:r>
            <w:r>
              <w:rPr>
                <w:rFonts w:ascii="Times New Roman" w:cs="Times New Roman" w:eastAsia="Times New Roman" w:hAnsi="Times New Roman"/>
                <w:sz w:val="18"/>
                <w:szCs w:val="18"/>
                <w:b w:val="1"/>
                <w:bCs w:val="1"/>
                <w:color w:val="auto"/>
              </w:rPr>
              <w:t xml:space="preserve"> basic and diluted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226,075,389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192,378,436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80" w:right="480" w:hanging="321"/>
        <w:spacing w:after="0" w:line="220" w:lineRule="auto"/>
        <w:tabs>
          <w:tab w:leader="none" w:pos="680" w:val="left"/>
        </w:tabs>
        <w:numPr>
          <w:ilvl w:val="0"/>
          <w:numId w:val="1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loss and comprehensive loss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8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(304,157)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26"/>
        </w:trPr>
        <w:tc>
          <w:tcPr>
            <w:tcW w:w="3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1,348,350</w:t>
            </w:r>
          </w:p>
        </w:tc>
        <w:tc>
          <w:tcPr>
            <w:tcW w:w="16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(2,290)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withheld for taxes (Note 6)</w:t>
            </w: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8,124</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Expenses to be settled in share-based payments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226,780,843</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298,263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107,952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(325,274)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79,725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620" w:type="dxa"/>
            <w:vAlign w:val="bottom"/>
            <w:tcBorders>
              <w:bottom w:val="single" w:sz="8" w:color="auto"/>
            </w:tcBorders>
            <w:gridSpan w:val="4"/>
          </w:tcPr>
          <w:p>
            <w:pPr>
              <w:jc w:val="right"/>
              <w:ind w:right="228"/>
              <w:spacing w:after="0" w:line="157"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4"/>
                <w:szCs w:val="14"/>
                <w:color w:val="auto"/>
              </w:rPr>
            </w:pPr>
          </w:p>
        </w:tc>
        <w:tc>
          <w:tcPr>
            <w:tcW w:w="780" w:type="dxa"/>
            <w:vAlign w:val="bottom"/>
            <w:gridSpan w:val="4"/>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4"/>
                <w:szCs w:val="14"/>
                <w:color w:val="auto"/>
              </w:rPr>
            </w:pPr>
          </w:p>
        </w:tc>
        <w:tc>
          <w:tcPr>
            <w:tcW w:w="5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20"/>
              <w:spacing w:after="0" w:line="15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Restated</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 xml:space="preserve"> (Note 1)</w:t>
            </w:r>
          </w:p>
        </w:tc>
        <w:tc>
          <w:tcPr>
            <w:tcW w:w="9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$ 154,431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 (162,858)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2,148,990</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126"/>
        </w:trPr>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exploration and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1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(12,879)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evaluation expenses</w:t>
            </w: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30,425</w:t>
            </w:r>
          </w:p>
        </w:tc>
        <w:tc>
          <w:tcPr>
            <w:tcW w:w="0" w:type="dxa"/>
            <w:vAlign w:val="bottom"/>
          </w:tcPr>
          <w:p>
            <w:pPr>
              <w:spacing w:after="0"/>
              <w:rPr>
                <w:sz w:val="1"/>
                <w:szCs w:val="1"/>
                <w:color w:val="auto"/>
              </w:rPr>
            </w:pPr>
          </w:p>
        </w:tc>
      </w:tr>
      <w:tr>
        <w:trPr>
          <w:trHeight w:val="126"/>
        </w:trPr>
        <w:tc>
          <w:tcPr>
            <w:tcW w:w="31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stock options</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w:t>
            </w: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57,894</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(55,710)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(55,710)</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195,945,508</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$ 183,137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61,728</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 (218,568)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25,631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80" w:right="120" w:hanging="321"/>
        <w:spacing w:after="0" w:line="220" w:lineRule="auto"/>
        <w:tabs>
          <w:tab w:leader="none" w:pos="680" w:val="left"/>
        </w:tabs>
        <w:numPr>
          <w:ilvl w:val="0"/>
          <w:numId w:val="1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changes in equity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80" w:type="dxa"/>
            <w:vAlign w:val="bottom"/>
            <w:gridSpan w:val="3"/>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1" w:lineRule="exact"/>
              <w:rPr>
                <w:sz w:val="20"/>
                <w:szCs w:val="20"/>
                <w:color w:val="auto"/>
              </w:rPr>
            </w:pPr>
            <w:r>
              <w:rPr>
                <w:rFonts w:ascii="Times New Roman" w:cs="Times New Roman" w:eastAsia="Times New Roman" w:hAnsi="Times New Roman"/>
                <w:sz w:val="12"/>
                <w:szCs w:val="12"/>
                <w:b w:val="1"/>
                <w:bCs w:val="1"/>
                <w:color w:val="auto"/>
              </w:rPr>
              <w:t>(Restated</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to be settled with share-based payments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80" w:hanging="321"/>
        <w:spacing w:after="0" w:line="220" w:lineRule="auto"/>
        <w:tabs>
          <w:tab w:leader="none" w:pos="680" w:val="left"/>
        </w:tabs>
        <w:numPr>
          <w:ilvl w:val="0"/>
          <w:numId w:val="1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condensed consolidated statements of cash flows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96"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 for steel production.</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in 1994 pursuant to the United Nations Convention on the Law of the Sea. ISA contracts are granted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CCZ (“Marawa Area”). The Company, through its subsidiary DeepGreen Engineering Pte. Ltd. (“DGE”) entered into an option agreement (the “Marawa Option Agreement”) with Marawa to acquire the right to purchase tenements, as may be granted to Marawa by the ISA or any other regulatory body, granted to exclusively collect nodules from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203"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business operations to date, the current circumstances are dynamic and could negatively impact the Company’s business operations, exploration and development plans, results of operations, financial position, and cash flows.</w:t>
      </w:r>
    </w:p>
    <w:p>
      <w:pPr>
        <w:spacing w:after="0" w:line="158"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2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share and per share amounts have been adjusted to reflect the impact of the Business Combination.</w:t>
      </w:r>
    </w:p>
    <w:p>
      <w:pPr>
        <w:spacing w:after="0" w:line="15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(“Maersk”) (Note 4), and warrants liability (Note 5). Actual results could differ materially from those estimates.</w:t>
      </w:r>
    </w:p>
    <w:p>
      <w:pPr>
        <w:spacing w:after="0" w:line="9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1000" w:right="20" w:hanging="317"/>
        <w:spacing w:after="0" w:line="286" w:lineRule="auto"/>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1000" w:right="20" w:hanging="317"/>
        <w:spacing w:after="0" w:line="268" w:lineRule="auto"/>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1000" w:hanging="317"/>
        <w:spacing w:after="0" w:line="286" w:lineRule="auto"/>
        <w:tabs>
          <w:tab w:leader="none" w:pos="1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2022 and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March 31,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72"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Accounting for Certain Modifications or Exchanges of Freestanding Equity-Classified Written Call Options</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In May 2021, the Financial Accounting Standards Board (the “FASB”) issued Accounting Standards Update (“ASU”) 2021-04, </w:t>
      </w:r>
      <w:r>
        <w:rPr>
          <w:rFonts w:ascii="Times New Roman" w:cs="Times New Roman" w:eastAsia="Times New Roman" w:hAnsi="Times New Roman"/>
          <w:sz w:val="18"/>
          <w:szCs w:val="18"/>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which clarified and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191" w:lineRule="exact"/>
        <w:rPr>
          <w:sz w:val="20"/>
          <w:szCs w:val="20"/>
          <w:color w:val="auto"/>
        </w:rPr>
      </w:pPr>
    </w:p>
    <w:p>
      <w:pPr>
        <w:jc w:val="both"/>
        <w:ind w:left="340" w:right="7820" w:hanging="332"/>
        <w:spacing w:after="0" w:line="532" w:lineRule="auto"/>
        <w:tabs>
          <w:tab w:leader="none" w:pos="34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Exploration Contracts Strategic Partnerships </w:t>
      </w:r>
      <w:r>
        <w:rPr>
          <w:rFonts w:ascii="Times New Roman" w:cs="Times New Roman" w:eastAsia="Times New Roman" w:hAnsi="Times New Roman"/>
          <w:sz w:val="17"/>
          <w:szCs w:val="17"/>
          <w:b w:val="1"/>
          <w:bCs w:val="1"/>
          <w:i w:val="1"/>
          <w:iCs w:val="1"/>
          <w:color w:val="auto"/>
        </w:rPr>
        <w:t>Marine Vessel Services:</w:t>
      </w: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agreement with Maersk ended in January 2022, following the completion of the D block of the NORI Area (“NORI Area D”) environmental baseline campaigns.</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three months ended March 31, 2022, the Company incurred costs to Maersk for offshore campaigns of $nil (three months ended March 31, 2021 - $16.2 million). As at March 31, 2022, TMC had outstanding payables to Maersk of $5.8 million (December 31, 2021 - $11.3 million) included in accounts payable and accrued liabilities. Subsequent to March 31, 2022, $4.7 million of the $5.8 million was settled in cash.</w:t>
      </w:r>
    </w:p>
    <w:p>
      <w:pPr>
        <w:spacing w:after="0" w:line="179" w:lineRule="exact"/>
        <w:rPr>
          <w:rFonts w:ascii="Times New Roman" w:cs="Times New Roman" w:eastAsia="Times New Roman" w:hAnsi="Times New Roman"/>
          <w:sz w:val="17"/>
          <w:szCs w:val="17"/>
          <w:b w:val="1"/>
          <w:bCs w:val="1"/>
          <w:color w:val="auto"/>
        </w:rPr>
      </w:pPr>
    </w:p>
    <w:p>
      <w:pPr>
        <w:ind w:left="3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March 31, 2022, Maersk owned 20.8 million TMC common shares (December 31, 2021 – 20.8 million TMC common shares) which constituted 9.2% (December 31, 2021 – 9.2%) of the total common shares outstanding of the Company.</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Strategic Alliance with Allseas Pilot Mining Test Project</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made the second $10 million payment to Allseas under the Company’s amended Pilot Mining Test Agreement with Allseas (“PMTA”) on April 25, 2022 , following successful completion of the North Sea drive test. The third and final $10 million payment to Allseas under the PMTA will be payable upon successful completion of the pilot trial of the Pilot Mining Test System (“PMTS”) in NORI Area 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recorded $1.3 million as exploration and evaluation expenses for the three months ended March 31, 2022 (three months ended March 31, 2021 - $nil) for the PMTS. The Company will record the expense and liability for the third milestone payment upon successful completion of the pilot trial of the PMTS in NORI Area D. The Company has not recorded a liability for the third payment as at March 31, 2022.</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8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March 31, 2022, Allseas owned 17.2 million TMC common shares (December 31, 2021 – 16.2 million TMC common shares) which constituted 7.6% (December 31, 2021 – 7.2%) of total common shares outstanding.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0" w:type="dxa"/>
            <w:vAlign w:val="bottom"/>
          </w:tcPr>
          <w:p>
            <w:pPr>
              <w:spacing w:after="0"/>
              <w:rPr>
                <w:sz w:val="1"/>
                <w:szCs w:val="1"/>
                <w:color w:val="auto"/>
              </w:rPr>
            </w:pPr>
          </w:p>
        </w:tc>
      </w:tr>
      <w:tr>
        <w:trPr>
          <w:trHeight w:val="347"/>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 (Restated)</w:t>
            </w:r>
          </w:p>
        </w:tc>
        <w:tc>
          <w:tcPr>
            <w:tcW w:w="9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Travel, workshop and 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38,107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its initial public offering (“Private Warrants”) as part of the Business Combination.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15,000,000 (December 31, 2021 - 15,000,000)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7, 2021, the Company filed a Registration Statement on Form S-1 with respect to the common shares underlying the Public Warrants, as well as the Private Warrants, which was declared effective by the SEC on October 22, 2021. Following the Company’s filing of its Annual Report on Form 10-K for the year ended December 31, 2021, the Company has filed a post-effective amendment to the Registration Statement on Form S-1, which has not yet been declared effective by the SEC.</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the value of outstanding Public Warrants of $19.5 million was recorded in additional paid in capital.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2022, 9,500,000 Private Warrants were outstanding (December 31, 2021 - 9,500,000).</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March 31, 2022, the fair value of outstanding Private Warrants of $8.3 million is recorded as warrants liability. The following table presents the changes in the fair value of warrants liability:</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Private</w:t>
            </w:r>
          </w:p>
        </w:tc>
      </w:tr>
      <w:tr>
        <w:trPr>
          <w:trHeight w:val="238"/>
        </w:trPr>
        <w:tc>
          <w:tcPr>
            <w:tcW w:w="7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0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16"/>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fair value of warrants liability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10"/>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March 31,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8,314</w:t>
            </w:r>
          </w:p>
        </w:tc>
      </w:tr>
      <w:tr>
        <w:trPr>
          <w:trHeight w:val="20"/>
        </w:trPr>
        <w:tc>
          <w:tcPr>
            <w:tcW w:w="7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March 31, 2022 and December 31, 2021, the fair value of the Private Warrants was estimated using the following assumptions: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80" w:type="dxa"/>
            <w:vAlign w:val="bottom"/>
            <w:tcBorders>
              <w:bottom w:val="single" w:sz="8" w:color="CCEEFF"/>
            </w:tcBorders>
          </w:tcPr>
          <w:p>
            <w:pPr>
              <w:spacing w:after="0"/>
              <w:rPr>
                <w:sz w:val="15"/>
                <w:szCs w:val="15"/>
                <w:color w:val="auto"/>
              </w:rPr>
            </w:pPr>
          </w:p>
        </w:tc>
        <w:tc>
          <w:tcPr>
            <w:tcW w:w="2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64.6 %</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 years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months ended March 31, 2022.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 upon successful completion of the pilot trial of the PMTS in the NORI Area D. No expense or liability has been recorded as at and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March 31, 2022, there were 15,503,748 stock options outstanding under the Company’s Short-Term Incentive Plan (“STIP”) and 9,783,922 stock options outstanding under the Company’s Long-Term Incentive Plan (“LTIP”). No stock options were issued or exercised during the three months ended March 31, 2022. During the three months ended March 31, 2022, the Company recognized $3.9 million (three months ended March 31, 2021 - $30.4 million) of share-based compensation expense for stock options in the statement of loss and comprehensive loss, of which $2.0 million (three months ended March 31, 2021 - $18.1 million) was related to exploration and evaluation activities and $1.9 million (three months ended March 31, 2021 - $12.3 million) was related to general and administration matters.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(“RSUs”)</w:t>
      </w:r>
    </w:p>
    <w:p>
      <w:pPr>
        <w:spacing w:after="0" w:line="22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369,394 RSUs one-third of which vest on each anniversary of the grant date, 527,800 RSUs one-fourth of which vest on each anniversary of the grant date and 1,457,404 RSUs which vested immediately on the grant date, including 1,072,572 RSUs issued to settle liabilities with a carrying amount of $1.8 million, at a weighted average grant date fair value of $1.75 per RSU.</w:t>
      </w:r>
    </w:p>
    <w:p>
      <w:pPr>
        <w:spacing w:after="0" w:line="180"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A total of $1.9 million (three months ended March 31, 2021 - $nil) was charged to the statement of loss and comprehensive loss as share-based compensation expense for the three months ended March 31, 2022, of which $0.9 million (three months ended March 31, 2021 - $nil) was recorded in exploration and evaluation expenses and $1.0 million (three months ended March 31, 2021 - $nil) was recorded in general and administrative expenses. As at March 31, 2022, total unrecognized share-based compensation expense for RSUs was $12.1 million (December 31, 2021 - $12.3 million).</w:t>
      </w:r>
    </w:p>
    <w:p>
      <w:pPr>
        <w:spacing w:after="0" w:line="179"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3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5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34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4,843,825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202,450,079</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25,287,670</w:t>
            </w:r>
          </w:p>
        </w:tc>
        <w:tc>
          <w:tcPr>
            <w:tcW w:w="480" w:type="dxa"/>
            <w:vAlign w:val="bottom"/>
          </w:tcPr>
          <w:p>
            <w:pPr>
              <w:spacing w:after="0"/>
              <w:rPr>
                <w:sz w:val="18"/>
                <w:szCs w:val="18"/>
                <w:color w:val="auto"/>
              </w:rPr>
            </w:pPr>
          </w:p>
        </w:tc>
      </w:tr>
      <w:tr>
        <w:trPr>
          <w:trHeight w:val="871"/>
        </w:trPr>
        <w:tc>
          <w:tcPr>
            <w:tcW w:w="340" w:type="dxa"/>
            <w:vAlign w:val="bottom"/>
          </w:tcPr>
          <w:p>
            <w:pPr>
              <w:spacing w:after="0"/>
              <w:rPr>
                <w:sz w:val="24"/>
                <w:szCs w:val="24"/>
                <w:color w:val="auto"/>
              </w:rPr>
            </w:pPr>
          </w:p>
        </w:tc>
        <w:tc>
          <w:tcPr>
            <w:tcW w:w="67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F-46</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DGE, is engaged in a consulting agreement with SSCS Pte. Ltd. (“SSCS”) to manage offshore engineering studies. A director of DGE is employed through SSCS. Consulting services during the three months ended March 31, 2022 totaled $69 thousand (three months ended March 31, 2021 - $74 thousand), with $55 thousand disclosed as exploration labor within exploration and evaluation expenses (Note 4) and $14 thousand as general and administration expenses ($59 thousand and $15 thousand, respectively, in the comparative period). As at March 31, 2022, the amount payable to SSCS was $23 thousand (December 31, 2021 - $23 thousand).</w:t>
      </w:r>
    </w:p>
    <w:p>
      <w:pPr>
        <w:spacing w:after="0" w:line="187"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three months ended March 31, 2022 amounted to $94 thousand (three months ended March 31, 2021 - $93 thousand), evenly apportioned between exploration and evaluation expenses (Note 4) and general and administration expenses, in both the first quarter of 2022 and 2021. As at March 31, 2022, the amount payable to Ocean Renaissance was $nil (December 31, 2021 - $nil).</w:t>
      </w:r>
    </w:p>
    <w:p>
      <w:pPr>
        <w:spacing w:after="0" w:line="179" w:lineRule="exact"/>
        <w:rPr>
          <w:sz w:val="20"/>
          <w:szCs w:val="20"/>
          <w:color w:val="auto"/>
        </w:rPr>
      </w:pPr>
    </w:p>
    <w:p>
      <w:pPr>
        <w:ind w:left="340" w:right="6440" w:hanging="332"/>
        <w:spacing w:after="0" w:line="503" w:lineRule="auto"/>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its intended work plan for the 2017-2021 period. The periodic review report included a summary of work completed over the previous 5-year period (2017 to 2021) and a work plan and estimated budget for the next five-year period (2022 to 2026). NORI had committed to spend approximately $5 million to deliver on its intended work plan from 2017 to 2021, which it has exceeded. The periodic review report, which included a proposed work plan and estimated budget for 2022 to 2026, has been reviewed by and agreed with the ISA, and the Company is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DGE’s Marawa Option Agreement and Services Agreement with Marawa with respect to the Marawa Contract Area, DGE committed to spend a defined amount of funds on exploration activities on an annual basis. The commitment for fiscal 2022, 2023 and 2024 is Australian dollars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has spent approximately $13.3 million in connection with the TOML Exploration Contract from 2017 to 2021. Discussions with the ISA are underway to review the progress achieved to date and agree on program activities for the next 5-years, at which point the next five-year commitment will be finalized.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Gerard Barron and Scott Leonard</w:t>
      </w:r>
      <w:r>
        <w:rPr>
          <w:rFonts w:ascii="Times New Roman" w:cs="Times New Roman" w:eastAsia="Times New Roman" w:hAnsi="Times New Roman"/>
          <w:sz w:val="18"/>
          <w:szCs w:val="18"/>
          <w:color w:val="auto"/>
        </w:rPr>
        <w:t>. The complaint alleges that all defendants violated Section 10(b)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xml:space="preserve">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3"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TMC THE METALS COMPANY INC.</w:t>
      </w:r>
    </w:p>
    <w:p>
      <w:pPr>
        <w:spacing w:after="0" w:line="22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2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624205</wp:posOffset>
            </wp:positionV>
            <wp:extent cx="15773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15773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0" w:lineRule="exact"/>
        <w:rPr>
          <w:sz w:val="20"/>
          <w:szCs w:val="20"/>
          <w:color w:val="auto"/>
        </w:rPr>
      </w:pPr>
    </w:p>
    <w:p>
      <w:pPr>
        <w:spacing w:after="0" w:line="241" w:lineRule="exact"/>
        <w:rPr>
          <w:sz w:val="20"/>
          <w:szCs w:val="20"/>
          <w:color w:val="auto"/>
        </w:rPr>
      </w:pPr>
    </w:p>
    <w:p>
      <w:pPr>
        <w:jc w:val="center"/>
        <w:ind w:left="10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751840</wp:posOffset>
            </wp:positionV>
            <wp:extent cx="62922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Estimated Amount</w:t>
            </w:r>
          </w:p>
        </w:tc>
      </w:tr>
      <w:tr>
        <w:trPr>
          <w:trHeight w:val="209"/>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101,486</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r>
    </w:tbl>
    <w:p>
      <w:pPr>
        <w:spacing w:after="0" w:line="76"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estimated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purchased insurance policies relating to certain liabilities that our directors and officers may incur in such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SOAC’s Class B ordinary shares, par value $0.0001, for an aggregate price of $25,000. In March 2020, the Sponsor transferred 30,000 Founder Shares to each of SOAC’s independent directors. Upon the Continuance, the Founder Shares became Common Shares. The Sponsor had agreed to forfeit up to 1,125,000 Founder Shares to the extent that the over-allotment option was not exercised in full by the underwriter so that the Founder Shares will represent 20% of SOAC’s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Such securities were issued in connection with SOAC’s organization pursuant to the exemption from registration contained in Section 4(a)(2) of the Securities Act. The Sponsor is an accredited investor for purposes of Rule 501 of Regulation 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SOAC consummated the private placement of 9,500,000 Private Placement Warrants at a price of $1.00 per Private Placement Warrant to the Sponsor, generating gross proceeds of $9.5 million. Each Private Placement Warrant is exercisable for one Common Share at a price of $11.50 per share, subject to adjustment. Such securities were issued pursuant to the exemption from registration contained in Section 4(a)(2) of the Securities Act. The Sponsor is an accredited investor for purposes of Rule 501 of Regulation 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Consideration</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pursuant to the Plan of Arrangement, the shareholders and the optionholders of DeepGreen received on the Closing Date in exchange for their DeepGreen Common Shares or options, as applicable, an aggregate of 203,874,981 Common Shares in exchange for DeepGreen Common Shares and rollover options to purchase an aggregate of 25,287,670 Common Shares with respect to DeepGreen Options assumed by the Company, and (ii) the DeepGreen Earnout Shares (which includes DeepGreen Earnout Shares underlying the rollover options assumed by the Company). The Common Shares, DeepGreen Earnout Shares and rollover options to purchase Common Shares and DeepGreen Earnout Shares issued to shareholders and optionholders of DeepGreen pursuant to the Plan of Arrangement were not registered under the Securities Act, and were issued pursuant to the exemption provided by Section 3(a)(10) under the Securities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Shares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Immediately following the Continuance and prior to the Effective Time, the Sponsor exchanged 741,000 SOAC Common Shares (which consisted of the SOAC Class B ordinary shares prior to the Continuance) for the Sponsor Earnout Shares, each of which is automatically convertible into Common Shares on a one-for-one basis (subject to adjustment), if certain Common Share price thresholds are met as described herein. The Sponsor Earnout Shares issued to the Sponsor were issued pursuant to and in accordance with the exemption from registration under the Securities Act, under Section 3(a)(9) as involving an exchange by the Company exclusively with its security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the Closing Date, the Company offered and sold to the PIPE Investors, pursuant to the Subscription Agreements, an aggregate of 11,030,000 Common Shares at a price of $10.00 per share for aggregate gross proceeds to the Company of $110,300,000 in the PIPE Financing. The PIPE Financing closed concurrently with the Business Combination. The shares issued to the PIPE Investors in the PIPE Financing on the Closing Date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Part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Common Shares to Service Providers</w:t>
      </w:r>
    </w:p>
    <w:p>
      <w:pPr>
        <w:spacing w:after="0" w:line="22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On October 7, 2021, in lieu of cash fees for services rendered to DeepGreen in connection with the Business Combination, the Company issued an aggregate of 873,953 Common Shares to five service providers. The shares issued to such service providers were issued pursuant to and in accordance with the exemption from registration under the Securities Act under Section 4(a)(2) and/or Regulation D promulgated under the Securities Act, or a prospectus exemption under applicable Canadian securities law,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ind w:left="860" w:hanging="420"/>
        <w:spacing w:after="0"/>
        <w:tabs>
          <w:tab w:leader="none" w:pos="8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File/Reg.</w:t>
            </w:r>
          </w:p>
        </w:tc>
        <w:tc>
          <w:tcPr>
            <w:tcW w:w="0" w:type="dxa"/>
            <w:vAlign w:val="bottom"/>
          </w:tcPr>
          <w:p>
            <w:pPr>
              <w:spacing w:after="0"/>
              <w:rPr>
                <w:sz w:val="1"/>
                <w:szCs w:val="1"/>
                <w:color w:val="auto"/>
              </w:rPr>
            </w:pPr>
          </w:p>
        </w:tc>
      </w:tr>
      <w:tr>
        <w:trPr>
          <w:trHeight w:val="148"/>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20" w:type="dxa"/>
            <w:vAlign w:val="bottom"/>
            <w:gridSpan w:val="2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92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gridSpan w:val="23"/>
            <w:vMerge w:val="continue"/>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4480" w:type="dxa"/>
            <w:vAlign w:val="bottom"/>
            <w:tcBorders>
              <w:bottom w:val="single" w:sz="8" w:color="0000EE"/>
            </w:tcBorders>
            <w:gridSpan w:val="21"/>
          </w:tcPr>
          <w:p>
            <w:pPr>
              <w:spacing w:after="0" w:line="169"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Business Combination Agreement, dated as of March 4, 2021,</w:t>
              </w:r>
            </w:hyperlink>
          </w:p>
        </w:tc>
        <w:tc>
          <w:tcPr>
            <w:tcW w:w="180" w:type="dxa"/>
            <w:vAlign w:val="bottom"/>
            <w:gridSpan w:val="6"/>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vMerge w:val="continue"/>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3/4/2021</w:t>
            </w:r>
          </w:p>
        </w:tc>
        <w:tc>
          <w:tcPr>
            <w:tcW w:w="100" w:type="dxa"/>
            <w:vAlign w:val="bottom"/>
            <w:vMerge w:val="continue"/>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9"/>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by and among Sustainable Opportunities Acquisition Corp.,</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1291924 B.C. Unlimited Liability Company and DeepGreen</w:t>
              </w:r>
            </w:hyperlink>
          </w:p>
        </w:tc>
        <w:tc>
          <w:tcPr>
            <w:tcW w:w="46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9"/>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Metals Inc.</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4820" w:type="dxa"/>
            <w:vAlign w:val="bottom"/>
            <w:gridSpan w:val="29"/>
          </w:tcPr>
          <w:p>
            <w:pPr>
              <w:spacing w:after="0"/>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Notice of Articles of TMC the metals company Inc.</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4820" w:type="dxa"/>
            <w:vAlign w:val="bottom"/>
            <w:gridSpan w:val="29"/>
          </w:tcPr>
          <w:p>
            <w:pPr>
              <w:spacing w:after="0"/>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Articles of TMC the metals company Inc.</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3.2)</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4820" w:type="dxa"/>
            <w:vAlign w:val="bottom"/>
            <w:gridSpan w:val="29"/>
          </w:tcPr>
          <w:p>
            <w:pPr>
              <w:spacing w:after="0"/>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TMC the metals company Inc. Common Share Certificate</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9/15/2021</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4.1)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4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Warrant Agreement between Continental Stock Transfer &amp; Trust</w:t>
              </w:r>
            </w:hyperlink>
          </w:p>
        </w:tc>
        <w:tc>
          <w:tcPr>
            <w:tcW w:w="1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Form 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5/8/2020</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9"/>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Company and Sustainable Opportunities Acquisition Corp.,</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dated May 8, 2020</w:t>
              </w:r>
            </w:hyperlink>
          </w:p>
        </w:tc>
        <w:tc>
          <w:tcPr>
            <w:tcW w:w="52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Opinion of Fasken Martineau DuMoulin LLP (filed with the</w:t>
              </w:r>
            </w:hyperlink>
          </w:p>
        </w:tc>
        <w:tc>
          <w:tcPr>
            <w:tcW w:w="460" w:type="dxa"/>
            <w:vAlign w:val="bottom"/>
            <w:gridSpan w:val="12"/>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Form S-1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Initial Registration Statement)</w:t>
              </w:r>
            </w:hyperlink>
          </w:p>
        </w:tc>
        <w:tc>
          <w:tcPr>
            <w:tcW w:w="2640" w:type="dxa"/>
            <w:vAlign w:val="bottom"/>
            <w:gridSpan w:val="22"/>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5.1)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46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Opinion of Mintz, Levin, Cohn, Ferris, Glovsky and Popeo, P.C.</w:t>
              </w:r>
            </w:hyperlink>
          </w:p>
        </w:tc>
        <w:tc>
          <w:tcPr>
            <w:tcW w:w="18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Form S-1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(filed with the Initial Registration Statement)</w:t>
              </w:r>
            </w:hyperlink>
          </w:p>
        </w:tc>
        <w:tc>
          <w:tcPr>
            <w:tcW w:w="1580" w:type="dxa"/>
            <w:vAlign w:val="bottom"/>
            <w:gridSpan w:val="2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(Exhibit 5.2)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0"/>
                <w:szCs w:val="20"/>
                <w:color w:val="auto"/>
              </w:rPr>
            </w:pPr>
          </w:p>
        </w:tc>
        <w:tc>
          <w:tcPr>
            <w:tcW w:w="4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Amended and Restated Registration Rights Agreement, by and</w:t>
              </w:r>
            </w:hyperlink>
          </w:p>
        </w:tc>
        <w:tc>
          <w:tcPr>
            <w:tcW w:w="300" w:type="dxa"/>
            <w:vAlign w:val="bottom"/>
            <w:gridSpan w:val="6"/>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S-4/A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9"/>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between Sustainable Opportunities Acquisition Corp.,</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10.5 -</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Sustainable Opportunities Holdings LLC, the parties listed</w:t>
              </w:r>
            </w:hyperlink>
          </w:p>
        </w:tc>
        <w:tc>
          <w:tcPr>
            <w:tcW w:w="60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Annex H)</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under Sponsor Group Holders on the signature page(s) thereto</w:t>
              </w:r>
            </w:hyperlink>
          </w:p>
        </w:tc>
        <w:tc>
          <w:tcPr>
            <w:tcW w:w="34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9"/>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and the parties listed under DeepGreen Holders on the signature</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page(s) thereto</w:t>
              </w:r>
            </w:hyperlink>
          </w:p>
        </w:tc>
        <w:tc>
          <w:tcPr>
            <w:tcW w:w="2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0"/>
                <w:szCs w:val="20"/>
                <w:color w:val="auto"/>
              </w:rPr>
            </w:pPr>
          </w:p>
        </w:tc>
        <w:tc>
          <w:tcPr>
            <w:tcW w:w="4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Strategic Alliance Agreement, dated as of March 29, 2019, by</w:t>
              </w:r>
            </w:hyperlink>
          </w:p>
        </w:tc>
        <w:tc>
          <w:tcPr>
            <w:tcW w:w="360" w:type="dxa"/>
            <w:vAlign w:val="bottom"/>
            <w:gridSpan w:val="9"/>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9"/>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and between DeepGreen Metals Inc. and Allseas Group S.A.</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10.7)</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p>
        </w:tc>
        <w:tc>
          <w:tcPr>
            <w:tcW w:w="4820" w:type="dxa"/>
            <w:vAlign w:val="bottom"/>
            <w:gridSpan w:val="29"/>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Pilot Mining Test Agreement dated as of July 8, 2019, by and</w:t>
              </w:r>
            </w:hyperlink>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between DeepGreen Metals Inc. and Allseas Group S.A.</w:t>
              </w:r>
            </w:hyperlink>
          </w:p>
        </w:tc>
        <w:tc>
          <w:tcPr>
            <w:tcW w:w="360" w:type="dxa"/>
            <w:vAlign w:val="bottom"/>
            <w:tcBorders>
              <w:top w:val="single" w:sz="8" w:color="0000EE"/>
            </w:tcBorders>
            <w:gridSpan w:val="6"/>
          </w:tcPr>
          <w:p>
            <w:pPr>
              <w:spacing w:after="0"/>
              <w:rPr>
                <w:sz w:val="17"/>
                <w:szCs w:val="17"/>
                <w:color w:val="auto"/>
              </w:rPr>
            </w:pPr>
          </w:p>
        </w:tc>
        <w:tc>
          <w:tcPr>
            <w:tcW w:w="40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10.8)</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Third Amendment to Pilot Mining Test Agreement and First</w:t>
              </w:r>
            </w:hyperlink>
          </w:p>
        </w:tc>
        <w:tc>
          <w:tcPr>
            <w:tcW w:w="460" w:type="dxa"/>
            <w:vAlign w:val="bottom"/>
            <w:gridSpan w:val="12"/>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Amendment to Strategic Alliance Agreement, dated as of</w:t>
              </w:r>
            </w:hyperlink>
          </w:p>
        </w:tc>
        <w:tc>
          <w:tcPr>
            <w:tcW w:w="700" w:type="dxa"/>
            <w:vAlign w:val="bottom"/>
            <w:gridSpan w:val="16"/>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(Exhibit 10.9)</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gridSpan w:val="29"/>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March 4, 2021, by and between DeepGreen Metals Inc. and</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289">
              <w:r>
                <w:rPr>
                  <w:rFonts w:ascii="Times New Roman" w:cs="Times New Roman" w:eastAsia="Times New Roman" w:hAnsi="Times New Roman"/>
                  <w:sz w:val="18"/>
                  <w:szCs w:val="18"/>
                  <w:color w:val="0000EE"/>
                  <w:w w:val="98"/>
                </w:rPr>
                <w:t>Allseas Group S.A.</w:t>
              </w:r>
            </w:hyperlink>
          </w:p>
        </w:tc>
        <w:tc>
          <w:tcPr>
            <w:tcW w:w="2900" w:type="dxa"/>
            <w:vAlign w:val="bottom"/>
            <w:tcBorders>
              <w:top w:val="single" w:sz="8" w:color="0000EE"/>
            </w:tcBorders>
            <w:gridSpan w:val="10"/>
          </w:tcPr>
          <w:p>
            <w:pPr>
              <w:spacing w:after="0"/>
              <w:rPr>
                <w:sz w:val="17"/>
                <w:szCs w:val="17"/>
                <w:color w:val="auto"/>
              </w:rPr>
            </w:pPr>
          </w:p>
        </w:tc>
        <w:tc>
          <w:tcPr>
            <w:tcW w:w="520" w:type="dxa"/>
            <w:vAlign w:val="bottom"/>
            <w:gridSpan w:val="1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0"/>
                <w:szCs w:val="20"/>
                <w:color w:val="auto"/>
              </w:rPr>
            </w:pPr>
          </w:p>
        </w:tc>
        <w:tc>
          <w:tcPr>
            <w:tcW w:w="4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Fourth Amendment to Pilot Mining Test Agreement and Second</w:t>
              </w:r>
            </w:hyperlink>
          </w:p>
        </w:tc>
        <w:tc>
          <w:tcPr>
            <w:tcW w:w="200" w:type="dxa"/>
            <w:vAlign w:val="bottom"/>
            <w:gridSpan w:val="4"/>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Form S-4/A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7/14/2021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Amendment to Strategic Alliance Agreement, dated as of June</w:t>
              </w:r>
            </w:hyperlink>
          </w:p>
        </w:tc>
        <w:tc>
          <w:tcPr>
            <w:tcW w:w="32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(Exhibit 10.23)</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30, 2021, by and between DeepGreen Metals Inc. and Allseas</w:t>
              </w:r>
            </w:hyperlink>
          </w:p>
        </w:tc>
        <w:tc>
          <w:tcPr>
            <w:tcW w:w="38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290">
              <w:r>
                <w:rPr>
                  <w:rFonts w:ascii="Times New Roman" w:cs="Times New Roman" w:eastAsia="Times New Roman" w:hAnsi="Times New Roman"/>
                  <w:sz w:val="18"/>
                  <w:szCs w:val="18"/>
                  <w:color w:val="0000EE"/>
                  <w:w w:val="96"/>
                </w:rPr>
                <w:t>Group S.A.</w:t>
              </w:r>
            </w:hyperlink>
          </w:p>
        </w:tc>
        <w:tc>
          <w:tcPr>
            <w:tcW w:w="4000" w:type="dxa"/>
            <w:vAlign w:val="bottom"/>
            <w:gridSpan w:val="26"/>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00" w:right="62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292">
        <w:r>
          <w:rPr>
            <w:rFonts w:ascii="Times New Roman" w:cs="Times New Roman" w:eastAsia="Times New Roman" w:hAnsi="Times New Roman"/>
            <w:sz w:val="18"/>
            <w:szCs w:val="18"/>
            <w:u w:val="single" w:color="auto"/>
            <w:color w:val="0000EE"/>
          </w:rPr>
          <w:t>Sponsorship Agreement, dated as of March 8, 2008, by and</w:t>
        </w:r>
      </w:hyperlink>
      <w:r>
        <w:rPr>
          <w:rFonts w:ascii="Times New Roman" w:cs="Times New Roman" w:eastAsia="Times New Roman" w:hAnsi="Times New Roman"/>
          <w:sz w:val="18"/>
          <w:szCs w:val="18"/>
          <w:u w:val="single" w:color="auto"/>
          <w:color w:val="0000EE"/>
        </w:rPr>
        <w:t xml:space="preserve"> </w:t>
      </w:r>
      <w:hyperlink r:id="rId292">
        <w:r>
          <w:rPr>
            <w:rFonts w:ascii="Times New Roman" w:cs="Times New Roman" w:eastAsia="Times New Roman" w:hAnsi="Times New Roman"/>
            <w:sz w:val="18"/>
            <w:szCs w:val="18"/>
            <w:u w:val="single" w:color="auto"/>
            <w:color w:val="0000EE"/>
          </w:rPr>
          <w:t>between the Kingdom of Tonga and Tonga Offshore Mining</w:t>
        </w:r>
      </w:hyperlink>
      <w:r>
        <w:rPr>
          <w:rFonts w:ascii="Times New Roman" w:cs="Times New Roman" w:eastAsia="Times New Roman" w:hAnsi="Times New Roman"/>
          <w:sz w:val="18"/>
          <w:szCs w:val="18"/>
          <w:u w:val="single" w:color="auto"/>
          <w:color w:val="0000EE"/>
        </w:rPr>
        <w:t xml:space="preserve"> </w:t>
      </w:r>
      <w:hyperlink r:id="rId292">
        <w:r>
          <w:rPr>
            <w:rFonts w:ascii="Times New Roman" w:cs="Times New Roman" w:eastAsia="Times New Roman" w:hAnsi="Times New Roman"/>
            <w:sz w:val="18"/>
            <w:szCs w:val="18"/>
            <w:u w:val="single" w:color="auto"/>
            <w:color w:val="0000EE"/>
          </w:rPr>
          <w:t>Limited</w:t>
        </w:r>
      </w:hyperlink>
    </w:p>
    <w:p>
      <w:pPr>
        <w:ind w:left="900" w:right="28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93">
        <w:r>
          <w:rPr>
            <w:rFonts w:ascii="Times New Roman" w:cs="Times New Roman" w:eastAsia="Times New Roman" w:hAnsi="Times New Roman"/>
            <w:sz w:val="18"/>
            <w:szCs w:val="18"/>
            <w:u w:val="single" w:color="auto"/>
            <w:color w:val="0000EE"/>
          </w:rPr>
          <w:t>Sponsorship Agreement, dated as of September 23, 2021, by and</w:t>
        </w:r>
      </w:hyperlink>
      <w:r>
        <w:rPr>
          <w:rFonts w:ascii="Times New Roman" w:cs="Times New Roman" w:eastAsia="Times New Roman" w:hAnsi="Times New Roman"/>
          <w:sz w:val="18"/>
          <w:szCs w:val="18"/>
          <w:u w:val="single" w:color="auto"/>
          <w:color w:val="0000EE"/>
        </w:rPr>
        <w:t xml:space="preserve"> </w:t>
      </w:r>
      <w:hyperlink r:id="rId293">
        <w:r>
          <w:rPr>
            <w:rFonts w:ascii="Times New Roman" w:cs="Times New Roman" w:eastAsia="Times New Roman" w:hAnsi="Times New Roman"/>
            <w:sz w:val="18"/>
            <w:szCs w:val="18"/>
            <w:u w:val="single" w:color="auto"/>
            <w:color w:val="0000EE"/>
          </w:rPr>
          <w:t>between the Kingdom of Tonga and Tonga Offshore Mining</w:t>
        </w:r>
      </w:hyperlink>
      <w:r>
        <w:rPr>
          <w:rFonts w:ascii="Times New Roman" w:cs="Times New Roman" w:eastAsia="Times New Roman" w:hAnsi="Times New Roman"/>
          <w:sz w:val="18"/>
          <w:szCs w:val="18"/>
          <w:u w:val="single" w:color="auto"/>
          <w:color w:val="0000EE"/>
        </w:rPr>
        <w:t xml:space="preserve"> </w:t>
      </w:r>
      <w:hyperlink r:id="rId293">
        <w:r>
          <w:rPr>
            <w:rFonts w:ascii="Times New Roman" w:cs="Times New Roman" w:eastAsia="Times New Roman" w:hAnsi="Times New Roman"/>
            <w:sz w:val="18"/>
            <w:szCs w:val="18"/>
            <w:u w:val="single" w:color="auto"/>
            <w:color w:val="0000EE"/>
          </w:rPr>
          <w:t>Limited (filed with the Initial Registration Statement)</w:t>
        </w:r>
      </w:hyperlink>
    </w:p>
    <w:p>
      <w:pPr>
        <w:ind w:left="900" w:right="26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94">
        <w:r>
          <w:rPr>
            <w:rFonts w:ascii="Times New Roman" w:cs="Times New Roman" w:eastAsia="Times New Roman" w:hAnsi="Times New Roman"/>
            <w:sz w:val="18"/>
            <w:szCs w:val="18"/>
            <w:u w:val="single" w:color="auto"/>
            <w:color w:val="0000EE"/>
          </w:rPr>
          <w:t>Sponsorship Agreement, dated as of June 5, 2017, by and among</w:t>
        </w:r>
      </w:hyperlink>
      <w:r>
        <w:rPr>
          <w:rFonts w:ascii="Times New Roman" w:cs="Times New Roman" w:eastAsia="Times New Roman" w:hAnsi="Times New Roman"/>
          <w:sz w:val="18"/>
          <w:szCs w:val="18"/>
          <w:u w:val="single" w:color="auto"/>
          <w:color w:val="0000EE"/>
        </w:rPr>
        <w:t xml:space="preserve"> </w:t>
      </w:r>
      <w:hyperlink r:id="rId294">
        <w:r>
          <w:rPr>
            <w:rFonts w:ascii="Times New Roman" w:cs="Times New Roman" w:eastAsia="Times New Roman" w:hAnsi="Times New Roman"/>
            <w:sz w:val="18"/>
            <w:szCs w:val="18"/>
            <w:u w:val="single" w:color="auto"/>
            <w:color w:val="0000EE"/>
          </w:rPr>
          <w:t>the Republic of Nauru, the Nauru Seabed Minerals Authority,</w:t>
        </w:r>
      </w:hyperlink>
      <w:r>
        <w:rPr>
          <w:rFonts w:ascii="Times New Roman" w:cs="Times New Roman" w:eastAsia="Times New Roman" w:hAnsi="Times New Roman"/>
          <w:sz w:val="18"/>
          <w:szCs w:val="18"/>
          <w:u w:val="single" w:color="auto"/>
          <w:color w:val="0000EE"/>
        </w:rPr>
        <w:t xml:space="preserve"> </w:t>
      </w:r>
      <w:hyperlink r:id="rId294">
        <w:r>
          <w:rPr>
            <w:rFonts w:ascii="Times New Roman" w:cs="Times New Roman" w:eastAsia="Times New Roman" w:hAnsi="Times New Roman"/>
            <w:sz w:val="18"/>
            <w:szCs w:val="18"/>
            <w:u w:val="single" w:color="auto"/>
            <w:color w:val="0000EE"/>
          </w:rPr>
          <w:t>and Nauru Ocean Resources Inc.</w:t>
        </w:r>
      </w:hyperlink>
    </w:p>
    <w:p>
      <w:pPr>
        <w:ind w:left="900" w:right="64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95">
        <w:r>
          <w:rPr>
            <w:rFonts w:ascii="Times New Roman" w:cs="Times New Roman" w:eastAsia="Times New Roman" w:hAnsi="Times New Roman"/>
            <w:sz w:val="18"/>
            <w:szCs w:val="18"/>
            <w:u w:val="single" w:color="auto"/>
            <w:color w:val="0000EE"/>
          </w:rPr>
          <w:t>Certificate of the Sponsorship signed by the Government of</w:t>
        </w:r>
      </w:hyperlink>
      <w:r>
        <w:rPr>
          <w:rFonts w:ascii="Times New Roman" w:cs="Times New Roman" w:eastAsia="Times New Roman" w:hAnsi="Times New Roman"/>
          <w:sz w:val="18"/>
          <w:szCs w:val="18"/>
          <w:u w:val="single" w:color="auto"/>
          <w:color w:val="0000EE"/>
        </w:rPr>
        <w:t xml:space="preserve"> </w:t>
      </w:r>
      <w:hyperlink r:id="rId295">
        <w:r>
          <w:rPr>
            <w:rFonts w:ascii="Times New Roman" w:cs="Times New Roman" w:eastAsia="Times New Roman" w:hAnsi="Times New Roman"/>
            <w:sz w:val="18"/>
            <w:szCs w:val="18"/>
            <w:u w:val="single" w:color="auto"/>
            <w:color w:val="0000EE"/>
          </w:rPr>
          <w:t>Nauru on April 11, 2011</w:t>
        </w:r>
      </w:hyperlink>
    </w:p>
    <w:p>
      <w:pPr>
        <w:spacing w:after="0" w:line="2" w:lineRule="exact"/>
        <w:rPr>
          <w:sz w:val="20"/>
          <w:szCs w:val="20"/>
          <w:color w:val="auto"/>
        </w:rPr>
      </w:pPr>
    </w:p>
    <w:p>
      <w:pPr>
        <w:ind w:left="900" w:right="50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96">
        <w:r>
          <w:rPr>
            <w:rFonts w:ascii="Times New Roman" w:cs="Times New Roman" w:eastAsia="Times New Roman" w:hAnsi="Times New Roman"/>
            <w:sz w:val="18"/>
            <w:szCs w:val="18"/>
            <w:u w:val="single" w:color="auto"/>
            <w:color w:val="0000EE"/>
          </w:rPr>
          <w:t>ISA Contract for Exploration (Republic of Nauru) dated as of</w:t>
        </w:r>
      </w:hyperlink>
      <w:r>
        <w:rPr>
          <w:rFonts w:ascii="Times New Roman" w:cs="Times New Roman" w:eastAsia="Times New Roman" w:hAnsi="Times New Roman"/>
          <w:sz w:val="18"/>
          <w:szCs w:val="18"/>
          <w:u w:val="single" w:color="auto"/>
          <w:color w:val="0000EE"/>
        </w:rPr>
        <w:t xml:space="preserve"> </w:t>
      </w:r>
      <w:hyperlink r:id="rId296">
        <w:r>
          <w:rPr>
            <w:rFonts w:ascii="Times New Roman" w:cs="Times New Roman" w:eastAsia="Times New Roman" w:hAnsi="Times New Roman"/>
            <w:sz w:val="18"/>
            <w:szCs w:val="18"/>
            <w:u w:val="single" w:color="auto"/>
            <w:color w:val="0000EE"/>
          </w:rPr>
          <w:t>July 22, 2011</w:t>
        </w:r>
      </w:hyperlink>
    </w:p>
    <w:p>
      <w:pPr>
        <w:spacing w:after="0" w:line="2" w:lineRule="exact"/>
        <w:rPr>
          <w:sz w:val="20"/>
          <w:szCs w:val="20"/>
          <w:color w:val="auto"/>
        </w:rPr>
      </w:pPr>
    </w:p>
    <w:p>
      <w:pPr>
        <w:ind w:left="900" w:right="48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97">
        <w:r>
          <w:rPr>
            <w:rFonts w:ascii="Times New Roman" w:cs="Times New Roman" w:eastAsia="Times New Roman" w:hAnsi="Times New Roman"/>
            <w:sz w:val="18"/>
            <w:szCs w:val="18"/>
            <w:u w:val="single" w:color="auto"/>
            <w:color w:val="0000EE"/>
          </w:rPr>
          <w:t>ISA Contract for Exploration (Kingdom of Tonga) dated as of</w:t>
        </w:r>
      </w:hyperlink>
      <w:r>
        <w:rPr>
          <w:rFonts w:ascii="Times New Roman" w:cs="Times New Roman" w:eastAsia="Times New Roman" w:hAnsi="Times New Roman"/>
          <w:sz w:val="18"/>
          <w:szCs w:val="18"/>
          <w:u w:val="single" w:color="auto"/>
          <w:color w:val="0000EE"/>
        </w:rPr>
        <w:t xml:space="preserve"> </w:t>
      </w:r>
      <w:hyperlink r:id="rId297">
        <w:r>
          <w:rPr>
            <w:rFonts w:ascii="Times New Roman" w:cs="Times New Roman" w:eastAsia="Times New Roman" w:hAnsi="Times New Roman"/>
            <w:sz w:val="18"/>
            <w:szCs w:val="18"/>
            <w:u w:val="single" w:color="auto"/>
            <w:color w:val="0000EE"/>
          </w:rPr>
          <w:t>January 11, 2012</w:t>
        </w:r>
      </w:hyperlink>
    </w:p>
    <w:p>
      <w:pPr>
        <w:spacing w:after="0" w:line="2"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98">
        <w:r>
          <w:rPr>
            <w:rFonts w:ascii="Times New Roman" w:cs="Times New Roman" w:eastAsia="Times New Roman" w:hAnsi="Times New Roman"/>
            <w:sz w:val="18"/>
            <w:szCs w:val="18"/>
            <w:u w:val="single" w:color="auto"/>
            <w:color w:val="0000EE"/>
          </w:rPr>
          <w:t>Form of Indemnity Agreement</w:t>
        </w:r>
      </w:hyperlink>
    </w:p>
    <w:p>
      <w:pPr>
        <w:spacing w:after="0" w:line="266"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99">
        <w:r>
          <w:rPr>
            <w:rFonts w:ascii="Times New Roman" w:cs="Times New Roman" w:eastAsia="Times New Roman" w:hAnsi="Times New Roman"/>
            <w:sz w:val="17"/>
            <w:szCs w:val="17"/>
            <w:u w:val="single" w:color="auto"/>
            <w:color w:val="0000EE"/>
          </w:rPr>
          <w:t>Nonemployee Director Compensation Policy</w:t>
        </w:r>
      </w:hyperlink>
    </w:p>
    <w:p>
      <w:pPr>
        <w:spacing w:after="0" w:line="266" w:lineRule="exact"/>
        <w:rPr>
          <w:sz w:val="20"/>
          <w:szCs w:val="20"/>
          <w:color w:val="auto"/>
        </w:rPr>
      </w:pPr>
    </w:p>
    <w:p>
      <w:pPr>
        <w:ind w:left="900" w:right="66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300">
        <w:r>
          <w:rPr>
            <w:rFonts w:ascii="Times New Roman" w:cs="Times New Roman" w:eastAsia="Times New Roman" w:hAnsi="Times New Roman"/>
            <w:sz w:val="18"/>
            <w:szCs w:val="18"/>
            <w:u w:val="single" w:color="auto"/>
            <w:color w:val="0000EE"/>
          </w:rPr>
          <w:t>Employment Agreement, dated December 15, 2017, by and</w:t>
        </w:r>
      </w:hyperlink>
      <w:r>
        <w:rPr>
          <w:rFonts w:ascii="Times New Roman" w:cs="Times New Roman" w:eastAsia="Times New Roman" w:hAnsi="Times New Roman"/>
          <w:sz w:val="18"/>
          <w:szCs w:val="18"/>
          <w:u w:val="single" w:color="auto"/>
          <w:color w:val="0000EE"/>
        </w:rPr>
        <w:t xml:space="preserve"> </w:t>
      </w:r>
      <w:hyperlink r:id="rId300">
        <w:r>
          <w:rPr>
            <w:rFonts w:ascii="Times New Roman" w:cs="Times New Roman" w:eastAsia="Times New Roman" w:hAnsi="Times New Roman"/>
            <w:sz w:val="18"/>
            <w:szCs w:val="18"/>
            <w:u w:val="single" w:color="auto"/>
            <w:color w:val="0000EE"/>
          </w:rPr>
          <w:t>between DeepGreen Metals Inc. and Gerard Barron</w:t>
        </w:r>
      </w:hyperlink>
    </w:p>
    <w:p>
      <w:pPr>
        <w:spacing w:after="0" w:line="2" w:lineRule="exact"/>
        <w:rPr>
          <w:sz w:val="20"/>
          <w:szCs w:val="20"/>
          <w:color w:val="auto"/>
        </w:rPr>
      </w:pPr>
    </w:p>
    <w:p>
      <w:pPr>
        <w:ind w:left="900" w:right="32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301">
        <w:r>
          <w:rPr>
            <w:rFonts w:ascii="Times New Roman" w:cs="Times New Roman" w:eastAsia="Times New Roman" w:hAnsi="Times New Roman"/>
            <w:sz w:val="18"/>
            <w:szCs w:val="18"/>
            <w:u w:val="single" w:color="auto"/>
            <w:color w:val="0000EE"/>
          </w:rPr>
          <w:t>Amended and Restated Employment Agreement, dated May 8,</w:t>
        </w:r>
      </w:hyperlink>
      <w:r>
        <w:rPr>
          <w:rFonts w:ascii="Times New Roman" w:cs="Times New Roman" w:eastAsia="Times New Roman" w:hAnsi="Times New Roman"/>
          <w:sz w:val="18"/>
          <w:szCs w:val="18"/>
          <w:u w:val="single" w:color="auto"/>
          <w:color w:val="0000EE"/>
        </w:rPr>
        <w:t xml:space="preserve"> </w:t>
      </w:r>
      <w:hyperlink r:id="rId301">
        <w:r>
          <w:rPr>
            <w:rFonts w:ascii="Times New Roman" w:cs="Times New Roman" w:eastAsia="Times New Roman" w:hAnsi="Times New Roman"/>
            <w:sz w:val="18"/>
            <w:szCs w:val="18"/>
            <w:u w:val="single" w:color="auto"/>
            <w:color w:val="0000EE"/>
          </w:rPr>
          <w:t>2022, by and between The Metals Company Australia Pty. LTD.</w:t>
        </w:r>
      </w:hyperlink>
      <w:r>
        <w:rPr>
          <w:rFonts w:ascii="Times New Roman" w:cs="Times New Roman" w:eastAsia="Times New Roman" w:hAnsi="Times New Roman"/>
          <w:sz w:val="18"/>
          <w:szCs w:val="18"/>
          <w:u w:val="single" w:color="auto"/>
          <w:color w:val="0000EE"/>
        </w:rPr>
        <w:t xml:space="preserve"> </w:t>
      </w:r>
      <w:hyperlink r:id="rId301">
        <w:r>
          <w:rPr>
            <w:rFonts w:ascii="Times New Roman" w:cs="Times New Roman" w:eastAsia="Times New Roman" w:hAnsi="Times New Roman"/>
            <w:sz w:val="18"/>
            <w:szCs w:val="18"/>
            <w:u w:val="single" w:color="auto"/>
            <w:color w:val="0000EE"/>
          </w:rPr>
          <w:t>and Anthony O’Sullivan</w:t>
        </w:r>
      </w:hyperlink>
    </w:p>
    <w:p>
      <w:pPr>
        <w:ind w:left="900" w:right="72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302">
        <w:r>
          <w:rPr>
            <w:rFonts w:ascii="Times New Roman" w:cs="Times New Roman" w:eastAsia="Times New Roman" w:hAnsi="Times New Roman"/>
            <w:sz w:val="18"/>
            <w:szCs w:val="18"/>
            <w:u w:val="single" w:color="auto"/>
            <w:color w:val="0000EE"/>
          </w:rPr>
          <w:t>Employment Agreement, dated September 1, 2018, by and</w:t>
        </w:r>
      </w:hyperlink>
      <w:r>
        <w:rPr>
          <w:rFonts w:ascii="Times New Roman" w:cs="Times New Roman" w:eastAsia="Times New Roman" w:hAnsi="Times New Roman"/>
          <w:sz w:val="18"/>
          <w:szCs w:val="18"/>
          <w:u w:val="single" w:color="auto"/>
          <w:color w:val="0000EE"/>
        </w:rPr>
        <w:t xml:space="preserve"> </w:t>
      </w:r>
      <w:hyperlink r:id="rId302">
        <w:r>
          <w:rPr>
            <w:rFonts w:ascii="Times New Roman" w:cs="Times New Roman" w:eastAsia="Times New Roman" w:hAnsi="Times New Roman"/>
            <w:sz w:val="18"/>
            <w:szCs w:val="18"/>
            <w:u w:val="single" w:color="auto"/>
            <w:color w:val="0000EE"/>
          </w:rPr>
          <w:t>between DeepGreen Metals Inc. and Erika Ilves</w:t>
        </w:r>
      </w:hyperlink>
    </w:p>
    <w:p>
      <w:pPr>
        <w:spacing w:after="0" w:line="2" w:lineRule="exact"/>
        <w:rPr>
          <w:sz w:val="20"/>
          <w:szCs w:val="20"/>
          <w:color w:val="auto"/>
        </w:rPr>
      </w:pPr>
    </w:p>
    <w:p>
      <w:pPr>
        <w:ind w:left="900" w:right="42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303">
        <w:r>
          <w:rPr>
            <w:rFonts w:ascii="Times New Roman" w:cs="Times New Roman" w:eastAsia="Times New Roman" w:hAnsi="Times New Roman"/>
            <w:sz w:val="18"/>
            <w:szCs w:val="18"/>
            <w:u w:val="single" w:color="auto"/>
            <w:color w:val="0000EE"/>
          </w:rPr>
          <w:t>Amended and Restated Employment Agreement, dated May 6,</w:t>
        </w:r>
      </w:hyperlink>
      <w:r>
        <w:rPr>
          <w:rFonts w:ascii="Times New Roman" w:cs="Times New Roman" w:eastAsia="Times New Roman" w:hAnsi="Times New Roman"/>
          <w:sz w:val="18"/>
          <w:szCs w:val="18"/>
          <w:u w:val="single" w:color="auto"/>
          <w:color w:val="0000EE"/>
        </w:rPr>
        <w:t xml:space="preserve"> </w:t>
      </w:r>
      <w:hyperlink r:id="rId303">
        <w:r>
          <w:rPr>
            <w:rFonts w:ascii="Times New Roman" w:cs="Times New Roman" w:eastAsia="Times New Roman" w:hAnsi="Times New Roman"/>
            <w:sz w:val="18"/>
            <w:szCs w:val="18"/>
            <w:u w:val="single" w:color="auto"/>
            <w:color w:val="0000EE"/>
          </w:rPr>
          <w:t>2022, by and between DeepGreen Resources, LLC and Craig</w:t>
        </w:r>
      </w:hyperlink>
      <w:r>
        <w:rPr>
          <w:rFonts w:ascii="Times New Roman" w:cs="Times New Roman" w:eastAsia="Times New Roman" w:hAnsi="Times New Roman"/>
          <w:sz w:val="18"/>
          <w:szCs w:val="18"/>
          <w:u w:val="single" w:color="auto"/>
          <w:color w:val="0000EE"/>
        </w:rPr>
        <w:t xml:space="preserve"> </w:t>
      </w:r>
      <w:hyperlink r:id="rId303">
        <w:r>
          <w:rPr>
            <w:rFonts w:ascii="Times New Roman" w:cs="Times New Roman" w:eastAsia="Times New Roman" w:hAnsi="Times New Roman"/>
            <w:sz w:val="18"/>
            <w:szCs w:val="18"/>
            <w:u w:val="single" w:color="auto"/>
            <w:color w:val="0000EE"/>
          </w:rPr>
          <w:t>Shesky</w:t>
        </w:r>
      </w:hyperlink>
    </w:p>
    <w:p>
      <w:pPr>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10.18.1+</w:t>
      </w:r>
      <w:r>
        <w:rPr>
          <w:sz w:val="20"/>
          <w:szCs w:val="20"/>
          <w:color w:val="auto"/>
        </w:rPr>
        <w:tab/>
      </w:r>
      <w:hyperlink r:id="rId304">
        <w:r>
          <w:rPr>
            <w:rFonts w:ascii="Times New Roman" w:cs="Times New Roman" w:eastAsia="Times New Roman" w:hAnsi="Times New Roman"/>
            <w:sz w:val="17"/>
            <w:szCs w:val="17"/>
            <w:u w:val="single" w:color="auto"/>
            <w:color w:val="0000EE"/>
          </w:rPr>
          <w:t>TMC the metals company Inc. 2021 Incentive Equity Plan</w:t>
        </w:r>
      </w:hyperlink>
    </w:p>
    <w:p>
      <w:pPr>
        <w:spacing w:after="0" w:line="266" w:lineRule="exact"/>
        <w:rPr>
          <w:rFonts w:ascii="Times New Roman" w:cs="Times New Roman" w:eastAsia="Times New Roman" w:hAnsi="Times New Roman"/>
          <w:sz w:val="18"/>
          <w:szCs w:val="18"/>
          <w:u w:val="single" w:color="auto"/>
          <w:color w:val="0000EE"/>
        </w:rPr>
      </w:pPr>
    </w:p>
    <w:p>
      <w:pPr>
        <w:ind w:left="900" w:right="84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10.18.2+</w:t>
      </w:r>
      <w:r>
        <w:rPr>
          <w:sz w:val="20"/>
          <w:szCs w:val="20"/>
          <w:color w:val="auto"/>
        </w:rPr>
        <w:tab/>
      </w:r>
      <w:hyperlink r:id="rId305">
        <w:r>
          <w:rPr>
            <w:rFonts w:ascii="Times New Roman" w:cs="Times New Roman" w:eastAsia="Times New Roman" w:hAnsi="Times New Roman"/>
            <w:sz w:val="18"/>
            <w:szCs w:val="18"/>
            <w:u w:val="single" w:color="auto"/>
            <w:color w:val="0000EE"/>
          </w:rPr>
          <w:t>Form of Stock Option Agreement under TMC the metals</w:t>
        </w:r>
      </w:hyperlink>
      <w:r>
        <w:rPr>
          <w:rFonts w:ascii="Times New Roman" w:cs="Times New Roman" w:eastAsia="Times New Roman" w:hAnsi="Times New Roman"/>
          <w:sz w:val="18"/>
          <w:szCs w:val="18"/>
          <w:u w:val="single" w:color="auto"/>
          <w:color w:val="0000EE"/>
        </w:rPr>
        <w:t xml:space="preserve"> </w:t>
      </w:r>
      <w:hyperlink r:id="rId305">
        <w:r>
          <w:rPr>
            <w:rFonts w:ascii="Times New Roman" w:cs="Times New Roman" w:eastAsia="Times New Roman" w:hAnsi="Times New Roman"/>
            <w:sz w:val="18"/>
            <w:szCs w:val="18"/>
            <w:u w:val="single" w:color="auto"/>
            <w:color w:val="0000EE"/>
          </w:rPr>
          <w:t>company Inc. 2021 Incentive Equity Plan</w:t>
        </w:r>
      </w:hyperlink>
    </w:p>
    <w:p>
      <w:pPr>
        <w:spacing w:after="0" w:line="2" w:lineRule="exact"/>
        <w:rPr>
          <w:sz w:val="20"/>
          <w:szCs w:val="20"/>
          <w:color w:val="auto"/>
        </w:rPr>
      </w:pPr>
    </w:p>
    <w:p>
      <w:pPr>
        <w:ind w:left="900" w:right="76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10.18.3+</w:t>
      </w:r>
      <w:r>
        <w:rPr>
          <w:sz w:val="20"/>
          <w:szCs w:val="20"/>
          <w:color w:val="auto"/>
        </w:rPr>
        <w:tab/>
      </w:r>
      <w:hyperlink r:id="rId306">
        <w:r>
          <w:rPr>
            <w:rFonts w:ascii="Times New Roman" w:cs="Times New Roman" w:eastAsia="Times New Roman" w:hAnsi="Times New Roman"/>
            <w:sz w:val="18"/>
            <w:szCs w:val="18"/>
            <w:u w:val="single" w:color="auto"/>
            <w:color w:val="0000EE"/>
          </w:rPr>
          <w:t>Form of Restricted Stock Unit Agreement under TMC the</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metals company Inc. 2021 Incentive Equity Plan</w:t>
        </w:r>
      </w:hyperlink>
    </w:p>
    <w:p>
      <w:pPr>
        <w:spacing w:after="0" w:line="2" w:lineRule="exact"/>
        <w:rPr>
          <w:sz w:val="20"/>
          <w:szCs w:val="20"/>
          <w:color w:val="auto"/>
        </w:rPr>
      </w:pPr>
    </w:p>
    <w:p>
      <w:pPr>
        <w:ind w:left="900" w:right="560" w:hanging="890"/>
        <w:spacing w:after="0" w:line="273"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10.19.1+</w:t>
      </w:r>
      <w:r>
        <w:rPr>
          <w:sz w:val="20"/>
          <w:szCs w:val="20"/>
          <w:color w:val="auto"/>
        </w:rPr>
        <w:tab/>
      </w:r>
      <w:hyperlink r:id="rId307">
        <w:r>
          <w:rPr>
            <w:rFonts w:ascii="Times New Roman" w:cs="Times New Roman" w:eastAsia="Times New Roman" w:hAnsi="Times New Roman"/>
            <w:sz w:val="18"/>
            <w:szCs w:val="18"/>
            <w:u w:val="single" w:color="auto"/>
            <w:color w:val="0000EE"/>
          </w:rPr>
          <w:t>DeepGreen Metals Inc. Stock Option Plan and form of Stock</w:t>
        </w:r>
      </w:hyperlink>
      <w:r>
        <w:rPr>
          <w:rFonts w:ascii="Times New Roman" w:cs="Times New Roman" w:eastAsia="Times New Roman" w:hAnsi="Times New Roman"/>
          <w:sz w:val="18"/>
          <w:szCs w:val="18"/>
          <w:u w:val="single" w:color="auto"/>
          <w:color w:val="0000EE"/>
        </w:rPr>
        <w:t xml:space="preserve"> </w:t>
      </w:r>
      <w:hyperlink r:id="rId307">
        <w:r>
          <w:rPr>
            <w:rFonts w:ascii="Times New Roman" w:cs="Times New Roman" w:eastAsia="Times New Roman" w:hAnsi="Times New Roman"/>
            <w:sz w:val="18"/>
            <w:szCs w:val="18"/>
            <w:u w:val="single" w:color="auto"/>
            <w:color w:val="0000EE"/>
          </w:rPr>
          <w:t>Option Agreement thereunder</w:t>
        </w:r>
      </w:hyperlink>
    </w:p>
    <w:p>
      <w:pPr>
        <w:spacing w:after="0" w:line="2"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10.19.2+</w:t>
      </w:r>
      <w:r>
        <w:rPr>
          <w:sz w:val="20"/>
          <w:szCs w:val="20"/>
          <w:color w:val="auto"/>
        </w:rPr>
        <w:tab/>
      </w:r>
      <w:hyperlink r:id="rId308">
        <w:r>
          <w:rPr>
            <w:rFonts w:ascii="Times New Roman" w:cs="Times New Roman" w:eastAsia="Times New Roman" w:hAnsi="Times New Roman"/>
            <w:sz w:val="18"/>
            <w:szCs w:val="18"/>
            <w:u w:val="single" w:color="auto"/>
            <w:color w:val="0000EE"/>
          </w:rPr>
          <w:t>Amendment to DeepGreen Metals Inc. Stock Option Plan</w:t>
        </w:r>
      </w:hyperlink>
    </w:p>
    <w:p>
      <w:pPr>
        <w:spacing w:after="0" w:line="266" w:lineRule="exact"/>
        <w:rPr>
          <w:sz w:val="20"/>
          <w:szCs w:val="20"/>
          <w:color w:val="auto"/>
        </w:rPr>
      </w:pPr>
    </w:p>
    <w:p>
      <w:pPr>
        <w:jc w:val="both"/>
        <w:ind w:left="900" w:right="44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309">
        <w:r>
          <w:rPr>
            <w:rFonts w:ascii="Times New Roman" w:cs="Times New Roman" w:eastAsia="Times New Roman" w:hAnsi="Times New Roman"/>
            <w:sz w:val="18"/>
            <w:szCs w:val="18"/>
            <w:u w:val="single" w:color="auto"/>
            <w:color w:val="0000EE"/>
          </w:rPr>
          <w:t>Form of Subscription Agreement for institutional investors, by</w:t>
        </w:r>
      </w:hyperlink>
      <w:r>
        <w:rPr>
          <w:rFonts w:ascii="Times New Roman" w:cs="Times New Roman" w:eastAsia="Times New Roman" w:hAnsi="Times New Roman"/>
          <w:sz w:val="18"/>
          <w:szCs w:val="18"/>
          <w:u w:val="single" w:color="auto"/>
          <w:color w:val="0000EE"/>
        </w:rPr>
        <w:t xml:space="preserve"> </w:t>
      </w:r>
      <w:hyperlink r:id="rId309">
        <w:r>
          <w:rPr>
            <w:rFonts w:ascii="Times New Roman" w:cs="Times New Roman" w:eastAsia="Times New Roman" w:hAnsi="Times New Roman"/>
            <w:sz w:val="18"/>
            <w:szCs w:val="18"/>
            <w:u w:val="single" w:color="auto"/>
            <w:color w:val="0000EE"/>
          </w:rPr>
          <w:t>and between Sustainable Opportunities Acquisition Corp. and</w:t>
        </w:r>
      </w:hyperlink>
      <w:r>
        <w:rPr>
          <w:rFonts w:ascii="Times New Roman" w:cs="Times New Roman" w:eastAsia="Times New Roman" w:hAnsi="Times New Roman"/>
          <w:sz w:val="18"/>
          <w:szCs w:val="18"/>
          <w:u w:val="single" w:color="auto"/>
          <w:color w:val="0000EE"/>
        </w:rPr>
        <w:t xml:space="preserve"> </w:t>
      </w:r>
      <w:hyperlink r:id="rId309">
        <w:r>
          <w:rPr>
            <w:rFonts w:ascii="Times New Roman" w:cs="Times New Roman" w:eastAsia="Times New Roman" w:hAnsi="Times New Roman"/>
            <w:sz w:val="18"/>
            <w:szCs w:val="18"/>
            <w:u w:val="single" w:color="auto"/>
            <w:color w:val="0000EE"/>
          </w:rPr>
          <w:t>the subscriber parties thereto</w:t>
        </w:r>
      </w:hyperlink>
    </w:p>
    <w:p>
      <w:pPr>
        <w:jc w:val="both"/>
        <w:ind w:left="900" w:right="480" w:hanging="89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310">
        <w:r>
          <w:rPr>
            <w:rFonts w:ascii="Times New Roman" w:cs="Times New Roman" w:eastAsia="Times New Roman" w:hAnsi="Times New Roman"/>
            <w:sz w:val="18"/>
            <w:szCs w:val="18"/>
            <w:u w:val="single" w:color="auto"/>
            <w:color w:val="0000EE"/>
          </w:rPr>
          <w:t>Form of Subscription Agreement for accredited investors, by</w:t>
        </w:r>
      </w:hyperlink>
      <w:r>
        <w:rPr>
          <w:rFonts w:ascii="Times New Roman" w:cs="Times New Roman" w:eastAsia="Times New Roman" w:hAnsi="Times New Roman"/>
          <w:sz w:val="18"/>
          <w:szCs w:val="18"/>
          <w:u w:val="single" w:color="auto"/>
          <w:color w:val="0000EE"/>
        </w:rPr>
        <w:t xml:space="preserve"> </w:t>
      </w:r>
      <w:hyperlink r:id="rId310">
        <w:r>
          <w:rPr>
            <w:rFonts w:ascii="Times New Roman" w:cs="Times New Roman" w:eastAsia="Times New Roman" w:hAnsi="Times New Roman"/>
            <w:sz w:val="18"/>
            <w:szCs w:val="18"/>
            <w:u w:val="single" w:color="auto"/>
            <w:color w:val="0000EE"/>
          </w:rPr>
          <w:t>and between Sustainable Opportunities Acquisition Corp. and</w:t>
        </w:r>
      </w:hyperlink>
      <w:r>
        <w:rPr>
          <w:rFonts w:ascii="Times New Roman" w:cs="Times New Roman" w:eastAsia="Times New Roman" w:hAnsi="Times New Roman"/>
          <w:sz w:val="18"/>
          <w:szCs w:val="18"/>
          <w:u w:val="single" w:color="auto"/>
          <w:color w:val="0000EE"/>
        </w:rPr>
        <w:t xml:space="preserve"> </w:t>
      </w:r>
      <w:hyperlink r:id="rId310">
        <w:r>
          <w:rPr>
            <w:rFonts w:ascii="Times New Roman" w:cs="Times New Roman" w:eastAsia="Times New Roman" w:hAnsi="Times New Roman"/>
            <w:sz w:val="18"/>
            <w:szCs w:val="18"/>
            <w:u w:val="single" w:color="auto"/>
            <w:color w:val="0000EE"/>
          </w:rPr>
          <w:t>the subscriber parties thereto</w:t>
        </w:r>
      </w:hyperlink>
    </w:p>
    <w:p>
      <w:pPr>
        <w:ind w:left="900" w:right="460" w:hanging="890"/>
        <w:spacing w:after="0" w:line="261"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311">
        <w:r>
          <w:rPr>
            <w:rFonts w:ascii="Times New Roman" w:cs="Times New Roman" w:eastAsia="Times New Roman" w:hAnsi="Times New Roman"/>
            <w:sz w:val="18"/>
            <w:szCs w:val="18"/>
            <w:u w:val="single" w:color="auto"/>
            <w:color w:val="0000EE"/>
          </w:rPr>
          <w:t>Sponsor Letter Agreement, dated as of March 4, 2021, by and</w:t>
        </w:r>
      </w:hyperlink>
      <w:r>
        <w:rPr>
          <w:rFonts w:ascii="Times New Roman" w:cs="Times New Roman" w:eastAsia="Times New Roman" w:hAnsi="Times New Roman"/>
          <w:sz w:val="18"/>
          <w:szCs w:val="18"/>
          <w:u w:val="single" w:color="auto"/>
          <w:color w:val="0000EE"/>
        </w:rPr>
        <w:t xml:space="preserve"> </w:t>
      </w:r>
      <w:hyperlink r:id="rId311">
        <w:r>
          <w:rPr>
            <w:rFonts w:ascii="Times New Roman" w:cs="Times New Roman" w:eastAsia="Times New Roman" w:hAnsi="Times New Roman"/>
            <w:sz w:val="18"/>
            <w:szCs w:val="18"/>
            <w:u w:val="single" w:color="auto"/>
            <w:color w:val="0000EE"/>
          </w:rPr>
          <w:t>among Sustainable Opportunities Holdings LLC, certain other</w:t>
        </w:r>
      </w:hyperlink>
      <w:r>
        <w:rPr>
          <w:rFonts w:ascii="Times New Roman" w:cs="Times New Roman" w:eastAsia="Times New Roman" w:hAnsi="Times New Roman"/>
          <w:sz w:val="18"/>
          <w:szCs w:val="18"/>
          <w:u w:val="single" w:color="auto"/>
          <w:color w:val="0000EE"/>
        </w:rPr>
        <w:t xml:space="preserve"> </w:t>
      </w:r>
      <w:hyperlink r:id="rId311">
        <w:r>
          <w:rPr>
            <w:rFonts w:ascii="Times New Roman" w:cs="Times New Roman" w:eastAsia="Times New Roman" w:hAnsi="Times New Roman"/>
            <w:sz w:val="18"/>
            <w:szCs w:val="18"/>
            <w:u w:val="single" w:color="auto"/>
            <w:color w:val="0000EE"/>
          </w:rPr>
          <w:t>holders set forth on Schedule I thereto, Sustainable</w:t>
        </w:r>
      </w:hyperlink>
      <w:r>
        <w:rPr>
          <w:rFonts w:ascii="Times New Roman" w:cs="Times New Roman" w:eastAsia="Times New Roman" w:hAnsi="Times New Roman"/>
          <w:sz w:val="18"/>
          <w:szCs w:val="18"/>
          <w:u w:val="single" w:color="auto"/>
          <w:color w:val="0000EE"/>
        </w:rPr>
        <w:t xml:space="preserve"> </w:t>
      </w:r>
      <w:hyperlink r:id="rId311">
        <w:r>
          <w:rPr>
            <w:rFonts w:ascii="Times New Roman" w:cs="Times New Roman" w:eastAsia="Times New Roman" w:hAnsi="Times New Roman"/>
            <w:sz w:val="18"/>
            <w:szCs w:val="18"/>
            <w:u w:val="single" w:color="auto"/>
            <w:color w:val="0000EE"/>
          </w:rPr>
          <w:t>Opportunities Acquisition Corp. and DeepGreen Metals, Inc.</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36" w:lineRule="exact"/>
        <w:rPr>
          <w:rFonts w:ascii="Times New Roman" w:cs="Times New Roman" w:eastAsia="Times New Roman" w:hAnsi="Times New Roman"/>
          <w:sz w:val="18"/>
          <w:szCs w:val="18"/>
          <w:u w:val="single" w:color="auto"/>
          <w:color w:val="0000EE"/>
        </w:rPr>
      </w:pPr>
    </w:p>
    <w:p>
      <w:pPr>
        <w:ind w:left="4660"/>
        <w:spacing w:after="0"/>
        <w:rPr>
          <w:sz w:val="20"/>
          <w:szCs w:val="20"/>
          <w:color w:val="auto"/>
        </w:rPr>
      </w:pPr>
      <w:r>
        <w:rPr>
          <w:rFonts w:ascii="Times New Roman" w:cs="Times New Roman" w:eastAsia="Times New Roman" w:hAnsi="Times New Roman"/>
          <w:sz w:val="18"/>
          <w:szCs w:val="18"/>
          <w:color w:val="auto"/>
        </w:rPr>
        <w:t>Part II-4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6"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10.14)</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10.24)</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10.15)</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10.16)</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10.18)</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10.19)</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10.17)</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5/9/2022</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10.19)</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5/9/2022</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10.2)</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10.23.1)</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10.23.2)</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Form 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(Exhibit 10.23.3)</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10.20)</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10.21)</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10.1)</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10.2)</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16"/>
        </w:trPr>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(Exhibit 10.4 -</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Annex G)</w:t>
            </w: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ectPr>
          <w:pgSz w:w="11900" w:h="16838" w:orient="portrait"/>
          <w:cols w:equalWidth="0" w:num="2">
            <w:col w:w="5840" w:space="720"/>
            <w:col w:w="3280"/>
          </w:cols>
          <w:pgMar w:left="980" w:top="513" w:right="10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2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Form of Transaction Support Agreement</w:t>
              </w:r>
            </w:hyperlink>
          </w:p>
        </w:tc>
        <w:tc>
          <w:tcPr>
            <w:tcW w:w="1700" w:type="dxa"/>
            <w:vAlign w:val="bottom"/>
            <w:gridSpan w:val="17"/>
          </w:tcPr>
          <w:p>
            <w:pPr>
              <w:spacing w:after="0"/>
              <w:rPr>
                <w:sz w:val="17"/>
                <w:szCs w:val="17"/>
                <w:color w:val="auto"/>
              </w:rPr>
            </w:pPr>
          </w:p>
        </w:tc>
      </w:tr>
      <w:tr>
        <w:trPr>
          <w:trHeight w:val="66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5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Non-Binding Memorandum of Understanding, dated March 14,</w:t>
              </w:r>
            </w:hyperlink>
          </w:p>
        </w:tc>
        <w:tc>
          <w:tcPr>
            <w:tcW w:w="6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4640" w:type="dxa"/>
            <w:vAlign w:val="bottom"/>
            <w:gridSpan w:val="27"/>
          </w:tcPr>
          <w:p>
            <w:pPr>
              <w:spacing w:after="0" w:line="196" w:lineRule="exact"/>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2022, by and between TMC the metals company Inc. and</w:t>
              </w:r>
            </w:hyperlink>
          </w:p>
        </w:tc>
      </w:tr>
      <w:tr>
        <w:trPr>
          <w:trHeight w:val="196"/>
        </w:trPr>
        <w:tc>
          <w:tcPr>
            <w:tcW w:w="9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14">
              <w:r>
                <w:rPr>
                  <w:rFonts w:ascii="Times New Roman" w:cs="Times New Roman" w:eastAsia="Times New Roman" w:hAnsi="Times New Roman"/>
                  <w:sz w:val="18"/>
                  <w:szCs w:val="18"/>
                  <w:color w:val="0000EE"/>
                  <w:w w:val="98"/>
                </w:rPr>
                <w:t>Epsilon Carbon Pvt. LTD.</w:t>
              </w:r>
            </w:hyperlink>
          </w:p>
        </w:tc>
        <w:tc>
          <w:tcPr>
            <w:tcW w:w="2240" w:type="dxa"/>
            <w:vAlign w:val="bottom"/>
            <w:tcBorders>
              <w:top w:val="single" w:sz="8" w:color="0000EE"/>
            </w:tcBorders>
            <w:gridSpan w:val="12"/>
          </w:tcPr>
          <w:p>
            <w:pPr>
              <w:spacing w:after="0"/>
              <w:rPr>
                <w:sz w:val="17"/>
                <w:szCs w:val="17"/>
                <w:color w:val="auto"/>
              </w:rPr>
            </w:pPr>
          </w:p>
        </w:tc>
        <w:tc>
          <w:tcPr>
            <w:tcW w:w="520" w:type="dxa"/>
            <w:vAlign w:val="bottom"/>
            <w:gridSpan w:val="10"/>
          </w:tcPr>
          <w:p>
            <w:pPr>
              <w:spacing w:after="0"/>
              <w:rPr>
                <w:sz w:val="17"/>
                <w:szCs w:val="17"/>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5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TMC the metals company Inc. 2021 Employee Stock Purchase</w:t>
              </w:r>
            </w:hyperlink>
          </w:p>
        </w:tc>
        <w:tc>
          <w:tcPr>
            <w:tcW w:w="100" w:type="dxa"/>
            <w:vAlign w:val="bottom"/>
            <w:gridSpan w:val="4"/>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315">
              <w:r>
                <w:rPr>
                  <w:rFonts w:ascii="Times New Roman" w:cs="Times New Roman" w:eastAsia="Times New Roman" w:hAnsi="Times New Roman"/>
                  <w:sz w:val="18"/>
                  <w:szCs w:val="18"/>
                  <w:color w:val="0000EE"/>
                  <w:w w:val="93"/>
                </w:rPr>
                <w:t>Plan</w:t>
              </w:r>
            </w:hyperlink>
          </w:p>
        </w:tc>
        <w:tc>
          <w:tcPr>
            <w:tcW w:w="4320" w:type="dxa"/>
            <w:vAlign w:val="bottom"/>
            <w:gridSpan w:val="26"/>
          </w:tcPr>
          <w:p>
            <w:pPr>
              <w:spacing w:after="0"/>
              <w:rPr>
                <w:sz w:val="17"/>
                <w:szCs w:val="17"/>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640" w:type="dxa"/>
            <w:vAlign w:val="bottom"/>
            <w:gridSpan w:val="27"/>
          </w:tcPr>
          <w:p>
            <w:pPr>
              <w:spacing w:after="0"/>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List of Subsidiaries (filed with the Initial Registration</w:t>
              </w:r>
            </w:hyperlink>
          </w:p>
        </w:tc>
      </w:tr>
      <w:tr>
        <w:trPr>
          <w:trHeight w:val="196"/>
        </w:trPr>
        <w:tc>
          <w:tcPr>
            <w:tcW w:w="9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16">
              <w:r>
                <w:rPr>
                  <w:rFonts w:ascii="Times New Roman" w:cs="Times New Roman" w:eastAsia="Times New Roman" w:hAnsi="Times New Roman"/>
                  <w:sz w:val="18"/>
                  <w:szCs w:val="18"/>
                  <w:color w:val="0000EE"/>
                  <w:w w:val="97"/>
                </w:rPr>
                <w:t>Statement)</w:t>
              </w:r>
            </w:hyperlink>
          </w:p>
        </w:tc>
        <w:tc>
          <w:tcPr>
            <w:tcW w:w="3080" w:type="dxa"/>
            <w:vAlign w:val="bottom"/>
            <w:tcBorders>
              <w:top w:val="single" w:sz="8" w:color="0000EE"/>
            </w:tcBorders>
            <w:gridSpan w:val="12"/>
          </w:tcPr>
          <w:p>
            <w:pPr>
              <w:spacing w:after="0"/>
              <w:rPr>
                <w:sz w:val="17"/>
                <w:szCs w:val="17"/>
                <w:color w:val="auto"/>
              </w:rPr>
            </w:pPr>
          </w:p>
        </w:tc>
        <w:tc>
          <w:tcPr>
            <w:tcW w:w="780" w:type="dxa"/>
            <w:vAlign w:val="bottom"/>
            <w:gridSpan w:val="13"/>
          </w:tcPr>
          <w:p>
            <w:pPr>
              <w:spacing w:after="0"/>
              <w:rPr>
                <w:sz w:val="17"/>
                <w:szCs w:val="17"/>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4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w:t>
            </w:r>
          </w:p>
        </w:tc>
        <w:tc>
          <w:tcPr>
            <w:tcW w:w="160" w:type="dxa"/>
            <w:vAlign w:val="bottom"/>
            <w:gridSpan w:val="6"/>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r>
      <w:tr>
        <w:trPr>
          <w:trHeight w:val="20"/>
        </w:trPr>
        <w:tc>
          <w:tcPr>
            <w:tcW w:w="9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Consent of Fasken Martineau DuMoulin LLP</w:t>
            </w:r>
          </w:p>
        </w:tc>
      </w:tr>
      <w:tr>
        <w:trPr>
          <w:trHeight w:val="20"/>
        </w:trPr>
        <w:tc>
          <w:tcPr>
            <w:tcW w:w="90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6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Consent of Mintz, Levin, Cohn, Ferris, Glovsky and Popeo, P.C.</w:t>
            </w: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2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AMC Consultants Pty Ltd.</w:t>
            </w:r>
          </w:p>
        </w:tc>
        <w:tc>
          <w:tcPr>
            <w:tcW w:w="1880" w:type="dxa"/>
            <w:vAlign w:val="bottom"/>
            <w:gridSpan w:val="19"/>
          </w:tcPr>
          <w:p>
            <w:pPr>
              <w:spacing w:after="0"/>
              <w:rPr>
                <w:sz w:val="20"/>
                <w:szCs w:val="20"/>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23.5</w:t>
            </w:r>
          </w:p>
        </w:tc>
        <w:tc>
          <w:tcPr>
            <w:tcW w:w="2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AMC Consultants Pty Ltd.</w:t>
            </w:r>
          </w:p>
        </w:tc>
        <w:tc>
          <w:tcPr>
            <w:tcW w:w="1880" w:type="dxa"/>
            <w:vAlign w:val="bottom"/>
            <w:gridSpan w:val="19"/>
          </w:tcPr>
          <w:p>
            <w:pPr>
              <w:spacing w:after="0"/>
              <w:rPr>
                <w:sz w:val="20"/>
                <w:szCs w:val="20"/>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23.6</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Consent of Canadian Engineering Associates Ltd.</w:t>
            </w: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23.7</w:t>
            </w:r>
          </w:p>
        </w:tc>
        <w:tc>
          <w:tcPr>
            <w:tcW w:w="29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Consent of Deep Reach Technology Inc.</w:t>
            </w:r>
          </w:p>
        </w:tc>
        <w:tc>
          <w:tcPr>
            <w:tcW w:w="660" w:type="dxa"/>
            <w:vAlign w:val="bottom"/>
            <w:tcBorders>
              <w:top w:val="single" w:sz="8" w:color="0000EE"/>
            </w:tcBorders>
            <w:gridSpan w:val="3"/>
          </w:tcPr>
          <w:p>
            <w:pPr>
              <w:spacing w:after="0"/>
              <w:rPr>
                <w:sz w:val="20"/>
                <w:szCs w:val="20"/>
                <w:color w:val="auto"/>
              </w:rPr>
            </w:pPr>
          </w:p>
        </w:tc>
        <w:tc>
          <w:tcPr>
            <w:tcW w:w="1060" w:type="dxa"/>
            <w:vAlign w:val="bottom"/>
            <w:gridSpan w:val="15"/>
          </w:tcPr>
          <w:p>
            <w:pPr>
              <w:spacing w:after="0"/>
              <w:rPr>
                <w:sz w:val="20"/>
                <w:szCs w:val="20"/>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23.8</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Consent of Margin — Marine Geoscience Innovation</w:t>
            </w: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23.9</w:t>
            </w:r>
          </w:p>
        </w:tc>
        <w:tc>
          <w:tcPr>
            <w:tcW w:w="38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Consent of John Michael Parianos</w:t>
            </w:r>
          </w:p>
        </w:tc>
        <w:tc>
          <w:tcPr>
            <w:tcW w:w="800" w:type="dxa"/>
            <w:vAlign w:val="bottom"/>
            <w:gridSpan w:val="14"/>
          </w:tcPr>
          <w:p>
            <w:pPr>
              <w:spacing w:after="0"/>
              <w:rPr>
                <w:sz w:val="20"/>
                <w:szCs w:val="20"/>
                <w:color w:val="auto"/>
              </w:rPr>
            </w:pPr>
          </w:p>
        </w:tc>
      </w:tr>
      <w:tr>
        <w:trPr>
          <w:trHeight w:val="20"/>
        </w:trPr>
        <w:tc>
          <w:tcPr>
            <w:tcW w:w="90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5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17">
              <w:r>
                <w:rPr>
                  <w:rFonts w:ascii="Times New Roman" w:cs="Times New Roman" w:eastAsia="Times New Roman" w:hAnsi="Times New Roman"/>
                  <w:sz w:val="18"/>
                  <w:szCs w:val="18"/>
                  <w:color w:val="0000EE"/>
                  <w:w w:val="99"/>
                </w:rPr>
                <w:t>Power of Attorney (included on the signature page to the Initial</w:t>
              </w:r>
            </w:hyperlink>
          </w:p>
        </w:tc>
        <w:tc>
          <w:tcPr>
            <w:tcW w:w="60" w:type="dxa"/>
            <w:vAlign w:val="bottom"/>
            <w:gridSpan w:val="2"/>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40" w:type="dxa"/>
            <w:vAlign w:val="bottom"/>
            <w:gridSpan w:val="27"/>
          </w:tcPr>
          <w:p>
            <w:pPr>
              <w:spacing w:after="0" w:line="196" w:lineRule="exact"/>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Registration Statement)</w:t>
              </w:r>
            </w:hyperlink>
          </w:p>
        </w:tc>
      </w:tr>
      <w:tr>
        <w:trPr>
          <w:trHeight w:val="20"/>
        </w:trPr>
        <w:tc>
          <w:tcPr>
            <w:tcW w:w="900" w:type="dxa"/>
            <w:vAlign w:val="bottom"/>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4640" w:type="dxa"/>
            <w:vAlign w:val="bottom"/>
            <w:gridSpan w:val="27"/>
          </w:tcPr>
          <w:p>
            <w:pPr>
              <w:spacing w:after="0"/>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Power of Attorney for Kathleen McAllister (filed with Post-</w:t>
              </w:r>
            </w:hyperlink>
          </w:p>
        </w:tc>
      </w:tr>
      <w:tr>
        <w:trPr>
          <w:trHeight w:val="196"/>
        </w:trPr>
        <w:tc>
          <w:tcPr>
            <w:tcW w:w="900" w:type="dxa"/>
            <w:vAlign w:val="bottom"/>
          </w:tcPr>
          <w:p>
            <w:pPr>
              <w:spacing w:after="0"/>
              <w:rPr>
                <w:sz w:val="17"/>
                <w:szCs w:val="17"/>
                <w:color w:val="auto"/>
              </w:rPr>
            </w:pPr>
          </w:p>
        </w:tc>
        <w:tc>
          <w:tcPr>
            <w:tcW w:w="43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Effective Amendment No. 1 to the Initial Registration</w:t>
              </w:r>
            </w:hyperlink>
          </w:p>
        </w:tc>
        <w:tc>
          <w:tcPr>
            <w:tcW w:w="320" w:type="dxa"/>
            <w:vAlign w:val="bottom"/>
            <w:gridSpan w:val="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18">
              <w:r>
                <w:rPr>
                  <w:rFonts w:ascii="Times New Roman" w:cs="Times New Roman" w:eastAsia="Times New Roman" w:hAnsi="Times New Roman"/>
                  <w:sz w:val="18"/>
                  <w:szCs w:val="18"/>
                  <w:color w:val="0000EE"/>
                  <w:w w:val="97"/>
                </w:rPr>
                <w:t>Statement)</w:t>
              </w:r>
            </w:hyperlink>
          </w:p>
        </w:tc>
        <w:tc>
          <w:tcPr>
            <w:tcW w:w="3100" w:type="dxa"/>
            <w:vAlign w:val="bottom"/>
            <w:tcBorders>
              <w:top w:val="single" w:sz="8" w:color="0000EE"/>
            </w:tcBorders>
            <w:gridSpan w:val="13"/>
          </w:tcPr>
          <w:p>
            <w:pPr>
              <w:spacing w:after="0"/>
              <w:rPr>
                <w:sz w:val="17"/>
                <w:szCs w:val="17"/>
                <w:color w:val="auto"/>
              </w:rPr>
            </w:pPr>
          </w:p>
        </w:tc>
        <w:tc>
          <w:tcPr>
            <w:tcW w:w="760" w:type="dxa"/>
            <w:vAlign w:val="bottom"/>
            <w:gridSpan w:val="12"/>
          </w:tcPr>
          <w:p>
            <w:pPr>
              <w:spacing w:after="0"/>
              <w:rPr>
                <w:sz w:val="17"/>
                <w:szCs w:val="17"/>
                <w:color w:val="auto"/>
              </w:rPr>
            </w:pP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96.1</w:t>
            </w:r>
          </w:p>
        </w:tc>
        <w:tc>
          <w:tcPr>
            <w:tcW w:w="45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19">
              <w:r>
                <w:rPr>
                  <w:rFonts w:ascii="Times New Roman" w:cs="Times New Roman" w:eastAsia="Times New Roman" w:hAnsi="Times New Roman"/>
                  <w:sz w:val="18"/>
                  <w:szCs w:val="18"/>
                  <w:color w:val="0000EE"/>
                  <w:w w:val="99"/>
                </w:rPr>
                <w:t>Technical Report Summary — Initial Assessment of the NORI</w:t>
              </w:r>
            </w:hyperlink>
          </w:p>
        </w:tc>
        <w:tc>
          <w:tcPr>
            <w:tcW w:w="120" w:type="dxa"/>
            <w:vAlign w:val="bottom"/>
            <w:gridSpan w:val="5"/>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46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319">
              <w:r>
                <w:rPr>
                  <w:rFonts w:ascii="Times New Roman" w:cs="Times New Roman" w:eastAsia="Times New Roman" w:hAnsi="Times New Roman"/>
                  <w:sz w:val="18"/>
                  <w:szCs w:val="18"/>
                  <w:color w:val="0000EE"/>
                  <w:w w:val="99"/>
                </w:rPr>
                <w:t>Property, Clarion-Clipperton Zone, for Deep Green Metals Inc.,</w:t>
              </w:r>
            </w:hyperlink>
          </w:p>
        </w:tc>
        <w:tc>
          <w:tcPr>
            <w:tcW w:w="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640" w:type="dxa"/>
            <w:vAlign w:val="bottom"/>
            <w:gridSpan w:val="27"/>
          </w:tcPr>
          <w:p>
            <w:pPr>
              <w:spacing w:after="0" w:line="196"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effective as of March 17, 2021, by AMC Consultants Pty Ltd.</w:t>
              </w:r>
            </w:hyperlink>
          </w:p>
        </w:tc>
      </w:tr>
      <w:tr>
        <w:trPr>
          <w:trHeight w:val="196"/>
        </w:trPr>
        <w:tc>
          <w:tcPr>
            <w:tcW w:w="9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19">
              <w:r>
                <w:rPr>
                  <w:rFonts w:ascii="Times New Roman" w:cs="Times New Roman" w:eastAsia="Times New Roman" w:hAnsi="Times New Roman"/>
                  <w:sz w:val="18"/>
                  <w:szCs w:val="18"/>
                  <w:color w:val="0000EE"/>
                  <w:w w:val="99"/>
                </w:rPr>
                <w:t>and other qualified persons</w:t>
              </w:r>
            </w:hyperlink>
          </w:p>
        </w:tc>
        <w:tc>
          <w:tcPr>
            <w:tcW w:w="2480" w:type="dxa"/>
            <w:vAlign w:val="bottom"/>
            <w:tcBorders>
              <w:top w:val="single" w:sz="8" w:color="0000EE"/>
            </w:tcBorders>
            <w:gridSpan w:val="14"/>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96.2</w:t>
            </w:r>
          </w:p>
        </w:tc>
        <w:tc>
          <w:tcPr>
            <w:tcW w:w="4640" w:type="dxa"/>
            <w:vAlign w:val="bottom"/>
            <w:gridSpan w:val="27"/>
          </w:tcPr>
          <w:p>
            <w:pPr>
              <w:spacing w:after="0"/>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Technical Report Summary — Initial Assessment of the TOML</w:t>
              </w:r>
            </w:hyperlink>
          </w:p>
        </w:tc>
      </w:tr>
      <w:tr>
        <w:trPr>
          <w:trHeight w:val="196"/>
        </w:trPr>
        <w:tc>
          <w:tcPr>
            <w:tcW w:w="90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Mineral Resource, Clarion-Clipperton Zone, Pacific Ocean, for</w:t>
              </w:r>
            </w:hyperlink>
          </w:p>
        </w:tc>
        <w:tc>
          <w:tcPr>
            <w:tcW w:w="2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640" w:type="dxa"/>
            <w:vAlign w:val="bottom"/>
            <w:gridSpan w:val="27"/>
          </w:tcPr>
          <w:p>
            <w:pPr>
              <w:spacing w:after="0" w:line="19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Deep Green Metals Inc., effective as of March 26, 2021, by</w:t>
              </w:r>
            </w:hyperlink>
          </w:p>
        </w:tc>
      </w:tr>
      <w:tr>
        <w:trPr>
          <w:trHeight w:val="196"/>
        </w:trPr>
        <w:tc>
          <w:tcPr>
            <w:tcW w:w="900" w:type="dxa"/>
            <w:vAlign w:val="bottom"/>
          </w:tcPr>
          <w:p>
            <w:pPr>
              <w:spacing w:after="0"/>
              <w:rPr>
                <w:sz w:val="17"/>
                <w:szCs w:val="17"/>
                <w:color w:val="auto"/>
              </w:rPr>
            </w:pPr>
          </w:p>
        </w:tc>
        <w:tc>
          <w:tcPr>
            <w:tcW w:w="42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AMC Consultants Pty Ltd. and other qualified persons</w:t>
              </w:r>
            </w:hyperlink>
          </w:p>
        </w:tc>
        <w:tc>
          <w:tcPr>
            <w:tcW w:w="360" w:type="dxa"/>
            <w:vAlign w:val="bottom"/>
            <w:gridSpan w:val="9"/>
          </w:tcPr>
          <w:p>
            <w:pPr>
              <w:spacing w:after="0"/>
              <w:rPr>
                <w:sz w:val="17"/>
                <w:szCs w:val="17"/>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9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20" w:type="dxa"/>
            <w:vAlign w:val="bottom"/>
            <w:gridSpan w:val="11"/>
          </w:tcPr>
          <w:p>
            <w:pPr>
              <w:spacing w:after="0"/>
              <w:rPr>
                <w:sz w:val="24"/>
                <w:szCs w:val="24"/>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w:t>
            </w:r>
          </w:p>
        </w:tc>
      </w:tr>
      <w:tr>
        <w:trPr>
          <w:trHeight w:val="234"/>
        </w:trPr>
        <w:tc>
          <w:tcPr>
            <w:tcW w:w="900" w:type="dxa"/>
            <w:vAlign w:val="bottom"/>
          </w:tcPr>
          <w:p>
            <w:pPr>
              <w:spacing w:after="0"/>
              <w:rPr>
                <w:sz w:val="20"/>
                <w:szCs w:val="20"/>
                <w:color w:val="auto"/>
              </w:rPr>
            </w:pP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w:t>
            </w:r>
          </w:p>
        </w:tc>
      </w:tr>
      <w:tr>
        <w:trPr>
          <w:trHeight w:val="234"/>
        </w:trPr>
        <w:tc>
          <w:tcPr>
            <w:tcW w:w="900" w:type="dxa"/>
            <w:vAlign w:val="bottom"/>
          </w:tcPr>
          <w:p>
            <w:pPr>
              <w:spacing w:after="0"/>
              <w:rPr>
                <w:sz w:val="20"/>
                <w:szCs w:val="20"/>
                <w:color w:val="auto"/>
              </w:rPr>
            </w:pP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 w:lineRule="exact"/>
        <w:rPr>
          <w:sz w:val="20"/>
          <w:szCs w:val="20"/>
          <w:color w:val="auto"/>
        </w:rPr>
      </w:pPr>
    </w:p>
    <w:p>
      <w:pPr>
        <w:ind w:left="900" w:right="220" w:hanging="892"/>
        <w:spacing w:after="0" w:line="282" w:lineRule="auto"/>
        <w:tabs>
          <w:tab w:leader="none" w:pos="900" w:val="left"/>
        </w:tabs>
        <w:numPr>
          <w:ilvl w:val="0"/>
          <w:numId w:val="141"/>
        </w:numPr>
        <w:rPr>
          <w:rFonts w:ascii="Times New Roman" w:cs="Times New Roman" w:eastAsia="Times New Roman" w:hAnsi="Times New Roman"/>
          <w:sz w:val="18"/>
          <w:szCs w:val="18"/>
          <w:u w:val="single" w:color="auto"/>
          <w:color w:val="0000EE"/>
        </w:rPr>
      </w:pPr>
      <w:hyperlink r:id="rId321">
        <w:r>
          <w:rPr>
            <w:rFonts w:ascii="Times New Roman" w:cs="Times New Roman" w:eastAsia="Times New Roman" w:hAnsi="Times New Roman"/>
            <w:sz w:val="18"/>
            <w:szCs w:val="18"/>
            <w:u w:val="single" w:color="auto"/>
            <w:color w:val="0000EE"/>
          </w:rPr>
          <w:t>Filing Fee Table (filed with Post-Effective Amendment No. 1</w:t>
        </w:r>
      </w:hyperlink>
      <w:r>
        <w:rPr>
          <w:rFonts w:ascii="Times New Roman" w:cs="Times New Roman" w:eastAsia="Times New Roman" w:hAnsi="Times New Roman"/>
          <w:sz w:val="18"/>
          <w:szCs w:val="18"/>
          <w:u w:val="single" w:color="auto"/>
          <w:color w:val="0000EE"/>
        </w:rPr>
        <w:t xml:space="preserve"> </w:t>
      </w:r>
      <w:hyperlink r:id="rId321">
        <w:r>
          <w:rPr>
            <w:rFonts w:ascii="Times New Roman" w:cs="Times New Roman" w:eastAsia="Times New Roman" w:hAnsi="Times New Roman"/>
            <w:sz w:val="18"/>
            <w:szCs w:val="18"/>
            <w:u w:val="single" w:color="auto"/>
            <w:color w:val="0000EE"/>
          </w:rPr>
          <w:t>to the Initial Registration Statement)</w:t>
        </w:r>
      </w:hyperlink>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660"/>
        <w:spacing w:after="0"/>
        <w:rPr>
          <w:sz w:val="20"/>
          <w:szCs w:val="20"/>
          <w:color w:val="auto"/>
        </w:rPr>
      </w:pPr>
      <w:r>
        <w:rPr>
          <w:rFonts w:ascii="Times New Roman" w:cs="Times New Roman" w:eastAsia="Times New Roman" w:hAnsi="Times New Roman"/>
          <w:sz w:val="18"/>
          <w:szCs w:val="18"/>
          <w:color w:val="auto"/>
        </w:rPr>
        <w:t>Part II-5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6" w:lineRule="exact"/>
        <w:rPr>
          <w:rFonts w:ascii="Times New Roman" w:cs="Times New Roman" w:eastAsia="Times New Roman" w:hAnsi="Times New Roman"/>
          <w:sz w:val="18"/>
          <w:szCs w:val="18"/>
          <w:color w:val="auto"/>
        </w:rPr>
      </w:pPr>
    </w:p>
    <w:p>
      <w:pPr>
        <w:spacing w:after="0" w:line="1" w:lineRule="exact"/>
        <w:rPr>
          <w:rFonts w:ascii="Times New Roman" w:cs="Times New Roman" w:eastAsia="Times New Roman" w:hAnsi="Times New Roman"/>
          <w:sz w:val="1"/>
          <w:szCs w:val="1"/>
          <w:color w:val="auto"/>
        </w:rPr>
      </w:pPr>
    </w:p>
    <w:tbl>
      <w:tblPr>
        <w:tblLayout w:type="fixed"/>
        <w:tblInd w:w="660" w:type="dxa"/>
        <w:tblCellMar>
          <w:top w:w="0" w:type="dxa"/>
          <w:left w:w="0" w:type="dxa"/>
          <w:bottom w:w="0" w:type="dxa"/>
          <w:right w:w="0" w:type="dxa"/>
        </w:tblCellMar>
      </w:tblPr>
      <w:tr>
        <w:trPr>
          <w:trHeight w:val="216"/>
        </w:trPr>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 S-4/A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r>
      <w:tr>
        <w:trPr>
          <w:trHeight w:val="216"/>
        </w:trPr>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(Exhibit 10.3 -</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Annex F)</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 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3/17/2022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r>
      <w:tr>
        <w:trPr>
          <w:trHeight w:val="234"/>
        </w:trPr>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10.1)</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5/31/2022</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333-265318</w:t>
            </w:r>
          </w:p>
        </w:tc>
      </w:tr>
      <w:tr>
        <w:trPr>
          <w:trHeight w:val="234"/>
        </w:trPr>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99.1)</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Form S-1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21.1)</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tbl>
      <w:tblPr>
        <w:tblLayout w:type="fixed"/>
        <w:tblInd w:w="600" w:type="dxa"/>
        <w:tblCellMar>
          <w:top w:w="0" w:type="dxa"/>
          <w:left w:w="0" w:type="dxa"/>
          <w:bottom w:w="0" w:type="dxa"/>
          <w:right w:w="0" w:type="dxa"/>
        </w:tblCellMar>
      </w:tblPr>
      <w:tr>
        <w:trPr>
          <w:trHeight w:val="216"/>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(Signature Page)</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8"/>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 S-1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333-260126</w:t>
            </w:r>
          </w:p>
        </w:tc>
      </w:tr>
      <w:tr>
        <w:trPr>
          <w:trHeight w:val="234"/>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24.2)</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4"/>
        </w:trPr>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234"/>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96.1)</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70"/>
        </w:trPr>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 S-4/A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234"/>
        </w:trPr>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96.2)</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0" w:lineRule="exact"/>
        <w:rPr>
          <w:rFonts w:ascii="Times New Roman" w:cs="Times New Roman" w:eastAsia="Times New Roman" w:hAnsi="Times New Roman"/>
          <w:sz w:val="18"/>
          <w:szCs w:val="18"/>
          <w:color w:val="auto"/>
        </w:rPr>
      </w:pPr>
    </w:p>
    <w:tbl>
      <w:tblPr>
        <w:tblLayout w:type="fixed"/>
        <w:tblInd w:w="8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Form S-1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4/14/2022   333-260126</w:t>
            </w:r>
          </w:p>
        </w:tc>
      </w:tr>
    </w:tbl>
    <w:p>
      <w:pPr>
        <w:jc w:val="right"/>
        <w:ind w:right="2200"/>
        <w:spacing w:after="0"/>
        <w:rPr>
          <w:sz w:val="20"/>
          <w:szCs w:val="20"/>
          <w:color w:val="auto"/>
        </w:rPr>
      </w:pPr>
      <w:r>
        <w:rPr>
          <w:rFonts w:ascii="Times New Roman" w:cs="Times New Roman" w:eastAsia="Times New Roman" w:hAnsi="Times New Roman"/>
          <w:sz w:val="18"/>
          <w:szCs w:val="18"/>
          <w:color w:val="auto"/>
        </w:rPr>
        <w:t>(Exhibit 107)</w:t>
      </w:r>
    </w:p>
    <w:p>
      <w:pPr>
        <w:sectPr>
          <w:pgSz w:w="11900" w:h="16838" w:orient="portrait"/>
          <w:cols w:equalWidth="0" w:num="2">
            <w:col w:w="5540" w:space="440"/>
            <w:col w:w="3880"/>
          </w:cols>
          <w:pgMar w:left="980" w:top="513" w:right="10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428625</wp:posOffset>
            </wp:positionV>
            <wp:extent cx="15684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225" w:lineRule="exact"/>
        <w:rPr>
          <w:sz w:val="20"/>
          <w:szCs w:val="20"/>
          <w:color w:val="auto"/>
        </w:rPr>
      </w:pPr>
    </w:p>
    <w:p>
      <w:pPr>
        <w:ind w:left="340" w:right="440" w:hanging="332"/>
        <w:spacing w:after="0" w:line="282"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62"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7" w:lineRule="exact"/>
        <w:rPr>
          <w:rFonts w:ascii="Times New Roman" w:cs="Times New Roman" w:eastAsia="Times New Roman" w:hAnsi="Times New Roman"/>
          <w:sz w:val="18"/>
          <w:szCs w:val="18"/>
          <w:color w:val="auto"/>
        </w:rPr>
      </w:pPr>
    </w:p>
    <w:p>
      <w:pPr>
        <w:ind w:left="1300" w:right="80" w:hanging="644"/>
        <w:spacing w:after="0" w:line="265" w:lineRule="auto"/>
        <w:tabs>
          <w:tab w:leader="none" w:pos="130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 w:lineRule="exact"/>
        <w:rPr>
          <w:rFonts w:ascii="Times New Roman" w:cs="Times New Roman" w:eastAsia="Times New Roman" w:hAnsi="Times New Roman"/>
          <w:sz w:val="17"/>
          <w:szCs w:val="17"/>
          <w:color w:val="auto"/>
        </w:rPr>
      </w:pPr>
    </w:p>
    <w:p>
      <w:pPr>
        <w:ind w:left="1300" w:right="100" w:hanging="644"/>
        <w:spacing w:after="0" w:line="260" w:lineRule="auto"/>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9" w:lineRule="exact"/>
        <w:rPr>
          <w:sz w:val="20"/>
          <w:szCs w:val="20"/>
          <w:color w:val="auto"/>
        </w:rPr>
      </w:pPr>
    </w:p>
    <w:p>
      <w:pPr>
        <w:ind w:left="440" w:right="140"/>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85" w:lineRule="exact"/>
        <w:rPr>
          <w:sz w:val="20"/>
          <w:szCs w:val="20"/>
          <w:color w:val="auto"/>
        </w:rPr>
      </w:pPr>
    </w:p>
    <w:p>
      <w:pPr>
        <w:ind w:left="660" w:right="320" w:hanging="328"/>
        <w:spacing w:after="0" w:line="266"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jc w:val="both"/>
        <w:ind w:left="1300" w:right="620" w:hanging="644"/>
        <w:spacing w:after="0" w:line="312" w:lineRule="auto"/>
        <w:tabs>
          <w:tab w:leader="none" w:pos="130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Part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00" w:hanging="644"/>
        <w:spacing w:after="0" w:line="252"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300" w:right="400" w:hanging="644"/>
        <w:spacing w:after="0" w:line="261"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ind w:left="1300" w:right="240" w:hanging="644"/>
        <w:spacing w:after="0" w:line="250"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ind w:left="1300" w:right="440" w:hanging="644"/>
        <w:spacing w:after="0" w:line="250"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1300" w:hanging="644"/>
        <w:spacing w:after="0"/>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 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June 30, 2022.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20" w:type="dxa"/>
            <w:vAlign w:val="bottom"/>
          </w:tcPr>
          <w:p>
            <w:pPr>
              <w:spacing w:after="0"/>
              <w:rPr>
                <w:sz w:val="18"/>
                <w:szCs w:val="18"/>
                <w:color w:val="auto"/>
              </w:rPr>
            </w:pPr>
          </w:p>
        </w:tc>
        <w:tc>
          <w:tcPr>
            <w:tcW w:w="31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Gerard Barron</w:t>
            </w:r>
          </w:p>
        </w:tc>
        <w:tc>
          <w:tcPr>
            <w:tcW w:w="160" w:type="dxa"/>
            <w:vAlign w:val="bottom"/>
          </w:tcPr>
          <w:p>
            <w:pPr>
              <w:spacing w:after="0"/>
              <w:rPr>
                <w:sz w:val="18"/>
                <w:szCs w:val="18"/>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16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60" w:type="dxa"/>
            <w:vAlign w:val="bottom"/>
          </w:tcPr>
          <w:p>
            <w:pPr>
              <w:spacing w:after="0"/>
              <w:rPr>
                <w:sz w:val="19"/>
                <w:szCs w:val="19"/>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26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Craig Shesky</w:t>
            </w:r>
          </w:p>
        </w:tc>
        <w:tc>
          <w:tcPr>
            <w:tcW w:w="160" w:type="dxa"/>
            <w:vAlign w:val="bottom"/>
          </w:tcPr>
          <w:p>
            <w:pPr>
              <w:spacing w:after="0"/>
              <w:rPr>
                <w:sz w:val="24"/>
                <w:szCs w:val="24"/>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160" w:type="dxa"/>
            <w:vAlign w:val="bottom"/>
          </w:tcPr>
          <w:p>
            <w:pPr>
              <w:spacing w:after="0"/>
              <w:rPr>
                <w:sz w:val="19"/>
                <w:szCs w:val="19"/>
                <w:color w:val="auto"/>
              </w:rPr>
            </w:pPr>
          </w:p>
        </w:tc>
        <w:tc>
          <w:tcPr>
            <w:tcW w:w="4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By: /s/ Gerard Barron</w:t>
            </w: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c>
          <w:tcPr>
            <w:tcW w:w="1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1006"/>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79"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 xml:space="preserve">We consent to the reference to our firm under the caption </w:t>
      </w:r>
      <w:r>
        <w:rPr>
          <w:rFonts w:ascii="Arial" w:cs="Arial" w:eastAsia="Arial" w:hAnsi="Arial"/>
          <w:sz w:val="20"/>
          <w:szCs w:val="20"/>
          <w:color w:val="auto"/>
        </w:rPr>
        <w:t>“</w:t>
      </w:r>
      <w:r>
        <w:rPr>
          <w:rFonts w:ascii="Times New Roman" w:cs="Times New Roman" w:eastAsia="Times New Roman" w:hAnsi="Times New Roman"/>
          <w:sz w:val="20"/>
          <w:szCs w:val="20"/>
          <w:color w:val="auto"/>
        </w:rPr>
        <w:t>Experts</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to the use of our report dated March 25, 2022 with respect to the consolidated financial statements of TMC the metals company Inc. (the </w:t>
      </w:r>
      <w:r>
        <w:rPr>
          <w:rFonts w:ascii="Arial" w:cs="Arial" w:eastAsia="Arial" w:hAnsi="Arial"/>
          <w:sz w:val="20"/>
          <w:szCs w:val="20"/>
          <w:color w:val="auto"/>
        </w:rPr>
        <w:t>“</w:t>
      </w:r>
      <w:r>
        <w:rPr>
          <w:rFonts w:ascii="Times New Roman" w:cs="Times New Roman" w:eastAsia="Times New Roman" w:hAnsi="Times New Roman"/>
          <w:sz w:val="20"/>
          <w:szCs w:val="20"/>
          <w:color w:val="auto"/>
        </w:rPr>
        <w:t>Company</w:t>
      </w:r>
      <w:r>
        <w:rPr>
          <w:rFonts w:ascii="Arial" w:cs="Arial" w:eastAsia="Arial" w:hAnsi="Arial"/>
          <w:sz w:val="20"/>
          <w:szCs w:val="20"/>
          <w:color w:val="auto"/>
        </w:rPr>
        <w:t>”</w:t>
      </w:r>
      <w:r>
        <w:rPr>
          <w:rFonts w:ascii="Times New Roman" w:cs="Times New Roman" w:eastAsia="Times New Roman" w:hAnsi="Times New Roman"/>
          <w:sz w:val="20"/>
          <w:szCs w:val="20"/>
          <w:color w:val="auto"/>
        </w:rPr>
        <w:t>) as at and for the years ended December 31, 2021 and December 31, 2020, included in the Amendment No.2 to post-effective amendment No.1 to Form S-1 Registration Statement of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Chartered Professional Accountants</w:t>
      </w:r>
    </w:p>
    <w:p>
      <w:pPr>
        <w:spacing w:after="0"/>
        <w:rPr>
          <w:sz w:val="20"/>
          <w:szCs w:val="20"/>
          <w:color w:val="auto"/>
        </w:rPr>
      </w:pPr>
      <w:r>
        <w:rPr>
          <w:rFonts w:ascii="Times New Roman" w:cs="Times New Roman" w:eastAsia="Times New Roman" w:hAnsi="Times New Roman"/>
          <w:sz w:val="20"/>
          <w:szCs w:val="20"/>
          <w:color w:val="auto"/>
        </w:rPr>
        <w:t>Vancouver, Canada</w:t>
      </w:r>
    </w:p>
    <w:p>
      <w:pPr>
        <w:spacing w:after="0"/>
        <w:rPr>
          <w:sz w:val="20"/>
          <w:szCs w:val="20"/>
          <w:color w:val="auto"/>
        </w:rPr>
      </w:pPr>
      <w:r>
        <w:rPr>
          <w:rFonts w:ascii="Times New Roman" w:cs="Times New Roman" w:eastAsia="Times New Roman" w:hAnsi="Times New Roman"/>
          <w:sz w:val="20"/>
          <w:szCs w:val="20"/>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173990</wp:posOffset>
            </wp:positionV>
            <wp:extent cx="1028700" cy="411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Fasken Martineau DuMoulin LLP</w:t>
            </w:r>
          </w:p>
        </w:tc>
        <w:tc>
          <w:tcPr>
            <w:tcW w:w="44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550 Burrard Street, Suite 2900</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 </w:t>
            </w:r>
            <w:r>
              <w:rPr>
                <w:rFonts w:ascii="Times New Roman" w:cs="Times New Roman" w:eastAsia="Times New Roman" w:hAnsi="Times New Roman"/>
                <w:sz w:val="14"/>
                <w:szCs w:val="14"/>
                <w:color w:val="auto"/>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604 631 3131</w:t>
            </w:r>
          </w:p>
        </w:tc>
      </w:tr>
      <w:tr>
        <w:trPr>
          <w:trHeight w:val="146"/>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Barristers and Solicitors</w:t>
            </w:r>
          </w:p>
        </w:tc>
        <w:tc>
          <w:tcPr>
            <w:tcW w:w="4480" w:type="dxa"/>
            <w:vAlign w:val="bottom"/>
          </w:tcPr>
          <w:p>
            <w:pPr>
              <w:ind w:left="800"/>
              <w:spacing w:after="0" w:line="147" w:lineRule="exact"/>
              <w:rPr>
                <w:sz w:val="20"/>
                <w:szCs w:val="20"/>
                <w:color w:val="auto"/>
              </w:rPr>
            </w:pPr>
            <w:r>
              <w:rPr>
                <w:rFonts w:ascii="Times New Roman" w:cs="Times New Roman" w:eastAsia="Times New Roman" w:hAnsi="Times New Roman"/>
                <w:sz w:val="14"/>
                <w:szCs w:val="14"/>
                <w:color w:val="auto"/>
              </w:rPr>
              <w:t>Vancouver, British Columbia V6C 0A3</w:t>
            </w:r>
          </w:p>
        </w:tc>
        <w:tc>
          <w:tcPr>
            <w:tcW w:w="1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866 635 3131</w:t>
            </w:r>
          </w:p>
        </w:tc>
      </w:t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Patent and Trade-mark Agents</w:t>
            </w:r>
          </w:p>
        </w:tc>
        <w:tc>
          <w:tcPr>
            <w:tcW w:w="44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Canada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 </w:t>
            </w:r>
            <w:r>
              <w:rPr>
                <w:rFonts w:ascii="Times New Roman" w:cs="Times New Roman" w:eastAsia="Times New Roman" w:hAnsi="Times New Roman"/>
                <w:sz w:val="14"/>
                <w:szCs w:val="14"/>
                <w:color w:val="auto"/>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604 631 3232</w:t>
            </w:r>
          </w:p>
        </w:tc>
      </w:tr>
    </w:tbl>
    <w:p>
      <w:pPr>
        <w:spacing w:after="0" w:line="6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fasken.com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328015.00001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V6C 2T5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ectPr>
          <w:pgSz w:w="11900" w:h="16838" w:orient="portrait"/>
          <w:cols w:equalWidth="0" w:num="1">
            <w:col w:w="9920"/>
          </w:cols>
          <w:pgMar w:left="980" w:top="333" w:right="99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TMC the metals company Inc. – Amendment No. 2 to Post-Effective Amendment No. 1 to Registration Statement on Form S-1</w:t>
      </w:r>
    </w:p>
    <w:p>
      <w:pPr>
        <w:spacing w:after="0" w:line="159" w:lineRule="exact"/>
        <w:rPr>
          <w:sz w:val="20"/>
          <w:szCs w:val="20"/>
          <w:color w:val="auto"/>
        </w:rPr>
      </w:pPr>
    </w:p>
    <w:p>
      <w:pPr>
        <w:sectPr>
          <w:pgSz w:w="11900" w:h="16838" w:orient="portrait"/>
          <w:cols w:equalWidth="0" w:num="2">
            <w:col w:w="280" w:space="380"/>
            <w:col w:w="9260"/>
          </w:cols>
          <w:pgMar w:left="980" w:top="333" w:right="99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filing of amendment No. 2 to post-effective amendment No. 1 to a registration statement on Form S-1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us under the headings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in Amendment No. 2 and to the filing of this consent as an exhibit to Amendment No. 2. In giving this consent, we do not thereby admit that we are included in the category of persons whose consent is required under Section 7 or Section 11 of the Act or the rules and regulations of the Commission promulgated thereunder.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942975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3429000" cy="2400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3429000" cy="24003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type w:val="continuous"/>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MINTZ, LEVIN, COHN, FERRIS, GLOVSKY AND POPEO, P.C.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COUNSEL TO TMC THE METALS COMPANY INC.</w:t>
      </w:r>
    </w:p>
    <w:p>
      <w:pPr>
        <w:spacing w:after="0" w:line="20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our opinion letter, dated October 7, 2021, as Exhibit 5.2 to Amendment No. 2 to Post-Effective Amendment No. 1 to Registration Statement on Form S-1 (the “Registration Statement”) and to the use of our name under the caption “Legal Matters” in the Registration Statement and in the Prospectus forming a part thereof and any amendments and/or supplements thereto. In giving this consent, we do not thereby admit that we are within the category of persons whose consent is required under Section 7 of the Securities Act of 1933, as amended, or the rules and regulations of the Securities and Exchange Commission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Mintz, Levin, Cohn, Ferris, Glovksy and Popeo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Glovksy and Popeo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Consultants Pty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Queensland, 4060, Australia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AMC Consultants Pty Ltd (“AMC”), in connection with Amendment No. 2 to Post-Effective Amendment No. 1 to Registration Statement on Form S-1 (No. 333-260126) and any further amendments or supplements and/or exhibits thereto (collectively, the Form S-1), consent to:</w:t>
      </w:r>
    </w:p>
    <w:p>
      <w:pPr>
        <w:spacing w:after="0" w:line="176" w:lineRule="exact"/>
        <w:rPr>
          <w:sz w:val="20"/>
          <w:szCs w:val="20"/>
          <w:color w:val="auto"/>
        </w:rPr>
      </w:pPr>
    </w:p>
    <w:p>
      <w:pPr>
        <w:ind w:left="980" w:right="180" w:hanging="324"/>
        <w:spacing w:after="0" w:line="266" w:lineRule="auto"/>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for Deep Green Metals Inc.” (the “NORI Technical Report”), with an effective date of March 17, 2021 and current as of December 31, 2021, as an exhibit to and referenced in the Form S-1;</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Summary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Introduction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Property description and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Accessibility, climate, local resources, infrastructure, and physiography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History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 Sample preparation and assaying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8.3: Quality assurance and quality control procedures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8.4: Quality assurance and quality control procedures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8.5: Moisture Content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Data verification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Mineral Resource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Mineral Reserve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13.3: Geotechnical considerations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13.7: Life of Mine nodule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14.2: Project Zero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15.1: On-shore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Market studies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Environmental studies, permitting and social or community impact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(except 18.3.1, 18.3.2, 18.6.1, 18.6.6): Capital and operating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Economic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 Adjacent properties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Other relevant data and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 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 Reliance on information provided by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June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/s/ Robert James Chesher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314579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James Chesher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Manager, Brisbane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493395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59"/>
          </w:cols>
          <w:pgMar w:left="1000" w:top="121" w:right="144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Consultants Pty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Turbot Street, Brisbane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Queensland, 4060, Australia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AMC Consultants Pty Ltd (“AMC”), in connection with Amendment No. 2 to Post-Effective Amendment No. 1 to Registration Statement on Form S-1 (No. 333-260126) and any further amendments or supplements and/or exhibits thereto (collectively, the Form S-1), consent to:</w:t>
      </w:r>
    </w:p>
    <w:p>
      <w:pPr>
        <w:spacing w:after="0" w:line="176" w:lineRule="exact"/>
        <w:rPr>
          <w:sz w:val="20"/>
          <w:szCs w:val="20"/>
          <w:color w:val="auto"/>
        </w:rPr>
      </w:pPr>
    </w:p>
    <w:p>
      <w:pPr>
        <w:ind w:left="660" w:right="100" w:hanging="328"/>
        <w:spacing w:after="0" w:line="289" w:lineRule="auto"/>
        <w:tabs>
          <w:tab w:leader="none" w:pos="66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TOML Mineral Resource, Clarion-Clipperton Zone, Pacific Ocean, for Deep Green Metals Inc.” (the “TOML Technical Report”), with an effective date of March 26, 2021 and current as of December 31, 2021, as an exhibit to and referenced in the Form S-1;</w:t>
      </w:r>
    </w:p>
    <w:p>
      <w:pPr>
        <w:spacing w:after="0" w:line="157" w:lineRule="exact"/>
        <w:rPr>
          <w:rFonts w:ascii="Times New Roman" w:cs="Times New Roman" w:eastAsia="Times New Roman" w:hAnsi="Times New Roman"/>
          <w:sz w:val="17"/>
          <w:szCs w:val="17"/>
          <w:color w:val="auto"/>
        </w:rPr>
      </w:pPr>
    </w:p>
    <w:p>
      <w:pPr>
        <w:ind w:left="660" w:right="360" w:hanging="328"/>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S-1 and any such TOML Technical Report; and</w:t>
      </w:r>
    </w:p>
    <w:p>
      <w:pPr>
        <w:spacing w:after="0" w:line="17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TOML Technical Report, or portions thereof, that was prepared by us, that we supervised the preparation of and/or that was reviewed and approved by us, that is included or incorporated by reference in the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Executive Summary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Introduction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Property Description and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Sample preparation, analyses and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Data verification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 – 11.8: Mineral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11.9.1: Geological setting and mineralisation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11.9.2: Exploration methods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11.9.3: Sample preparation analysis and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11.9.4: Mineral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11.9.8: Market studies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11.9.9: Environmental studies, permitting and social or community impact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Mineral Reserve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Market Studies and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Environmental Studies, Permitting, and Social or Community Impact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Capital and Operating Cost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Economic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 Adjacent Properties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Other Relevant Data and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 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 Reliance on information provided by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June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t>/s/ Robert James Chesher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31457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James Chesher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Manager, Brisbane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493395</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59"/>
          </w:cols>
          <w:pgMar w:left="1000" w:top="121" w:right="1440"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23.6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Engineering Associates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104-3300 Highway 7, Unit 384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Concord, ON L4K 0G2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Canadian Engineering Associates Ltd (“CEA”), in connection with Amendment No. 2 to Post-Effective Amendment No. 1 to Registration Statement on Form S-1 (No. 333-260126) and any further amendments or supplements and/or exhibits thereto (collectively, the Form S-1), consent to:</w:t>
      </w:r>
    </w:p>
    <w:p>
      <w:pPr>
        <w:spacing w:after="0" w:line="176" w:lineRule="exact"/>
        <w:rPr>
          <w:sz w:val="20"/>
          <w:szCs w:val="20"/>
          <w:color w:val="auto"/>
        </w:rPr>
      </w:pPr>
    </w:p>
    <w:p>
      <w:pPr>
        <w:ind w:left="660" w:right="80" w:hanging="328"/>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S-1;</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S-1;</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 TOML Technical Report; and</w:t>
      </w:r>
    </w:p>
    <w:p>
      <w:pPr>
        <w:spacing w:after="0" w:line="175"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 is responsible for,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Mineral processing and metallurgical testing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14.1: Process design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14.3: Project One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18.3.2: On-shore capital cost for Project One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18.6.6: On-shore operating costs – Project One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 is responsible for,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Mineral processing and metallurgical testing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11.9.6: Mineral processing and metallurgical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 Recovery Methods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t>/s/ 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Cameron Harris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Engineering Associates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23.7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 Reach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10050 Cash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Stafford, TX 77477 USA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Deep Reach Technology Inc. (“DRT”), in connection with Amendment No. 2 to Post-Effective Amendment No. 1 to Registration Statement on Form S-1 (No. 333-260126) and any further amendments or supplements and/or exhibits thereto (collectively, the Form S-1), consent to:</w:t>
      </w:r>
    </w:p>
    <w:p>
      <w:pPr>
        <w:spacing w:after="0" w:line="176" w:lineRule="exact"/>
        <w:rPr>
          <w:sz w:val="20"/>
          <w:szCs w:val="20"/>
          <w:color w:val="auto"/>
        </w:rPr>
      </w:pPr>
    </w:p>
    <w:p>
      <w:pPr>
        <w:ind w:left="660" w:right="80" w:hanging="328"/>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S-1;</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S-1;</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 TOML Technical Report; and</w:t>
      </w:r>
    </w:p>
    <w:p>
      <w:pPr>
        <w:spacing w:after="0" w:line="175"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DRT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13.1: Development plan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 Off-shore system concept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13.4: Collector Test and Hidden Gem conversion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 Project Zero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13.6: Project One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15.2: Nodule transport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18.3.1: Off-shore capital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18.6.1: Off-shore operating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DRT is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11.9.5: Mining Methods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11.9.7: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Mining Methods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Project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1" w:name="page252"/>
    <w:bookmarkEnd w:id="251"/>
    <w:p>
      <w:pPr>
        <w:ind w:right="2099" w:firstLine="332"/>
        <w:spacing w:after="0" w:line="532" w:lineRule="auto"/>
        <w:tabs>
          <w:tab w:leader="none" w:pos="6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 Dated this June 27,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Edwin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Edwin Halkyard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 Reach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23.8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Marine Geoscience Innovation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Kalang Circuit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Coffs Harbour, 2450, NSW, Australia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Margin - Marine Geoscience Innovation (“MMGI”), in connection with Amendment No. 2 to Post-Effective Amendment No. 1 to Registration Statement on Form S-1 (No. 333-260126) and any further amendments or supplements and/or exhibits thereto (collectively, the Form S-1), consent to:</w:t>
      </w:r>
    </w:p>
    <w:p>
      <w:pPr>
        <w:spacing w:after="0" w:line="176" w:lineRule="exact"/>
        <w:rPr>
          <w:sz w:val="20"/>
          <w:szCs w:val="20"/>
          <w:color w:val="auto"/>
        </w:rPr>
      </w:pPr>
    </w:p>
    <w:p>
      <w:pPr>
        <w:ind w:left="660" w:right="80" w:hanging="328"/>
        <w:spacing w:after="0" w:line="26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S-1;</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S-1 and any such NORI Technical Report; and</w:t>
      </w:r>
    </w:p>
    <w:p>
      <w:pPr>
        <w:spacing w:after="0" w:line="175"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MMGI is responsible for authoring, and this consent pertains to, the following Sections of the NORI Technical Report:</w:t>
      </w:r>
    </w:p>
    <w:p>
      <w:pPr>
        <w:spacing w:after="0" w:line="225"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Geological setting and mineralisation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Exploration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June 24,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Ian Robert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061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Robert Stevenson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Marine Geoscience Innovation,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23.9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Michael Parianos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1/108 River Terrace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Kangaroo Point 4169, Australia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John Michael Parianos, in connection with Amendment No. 2 to Post-Effective Amendment No. 1 to Registration Statement on Form S-1 (No. 333-260126) and any further amendments or supplements and/or exhibits thereto (collectively, the Form S-1), consent to:</w:t>
      </w:r>
    </w:p>
    <w:p>
      <w:pPr>
        <w:spacing w:after="0" w:line="162" w:lineRule="exact"/>
        <w:rPr>
          <w:sz w:val="20"/>
          <w:szCs w:val="20"/>
          <w:color w:val="auto"/>
        </w:rPr>
      </w:pPr>
    </w:p>
    <w:p>
      <w:pPr>
        <w:ind w:left="660" w:right="100" w:hanging="328"/>
        <w:spacing w:after="0" w:line="289" w:lineRule="auto"/>
        <w:tabs>
          <w:tab w:leader="none" w:pos="6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2021, as an exhibit to and referenced in the Form S-1;</w:t>
      </w:r>
    </w:p>
    <w:p>
      <w:pPr>
        <w:spacing w:after="0" w:line="157"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my name, including my status as an expert or “qualified person” (as defined in Subpart 1300 of Regulation S-K promulgated by the Securities and Exchange Commission), in connection with the Form S-1 and any such TOML Technical Report; and</w:t>
      </w:r>
    </w:p>
    <w:p>
      <w:pPr>
        <w:spacing w:after="0" w:line="17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TOML Technical Report, or portions thereof, that was prepared by me, that I supervised the preparation of and/or that was reviewed and approved by me, that is included or incorporated by reference in the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a qualified person responsible for authoring, and this consent pertains to, the following Sections of the TOML Technical Report:</w:t>
      </w:r>
    </w:p>
    <w:p>
      <w:pPr>
        <w:spacing w:after="0" w:line="225"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Accessibility, Climate, Local Resources, Infrastructure and Physiography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History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Geological Setting and Mineralisation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Exploration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June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Michael Parianos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061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Michael Parianos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330624"/>
    <w:multiLevelType w:val="hybridMultilevel"/>
    <w:lvl w:ilvl="0">
      <w:lvlJc w:val="left"/>
      <w:lvlText w:val="(%1)"/>
      <w:numFmt w:val="lowerRoman"/>
      <w:start w:val="2"/>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lowerRoman"/>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1)"/>
      <w:numFmt w:val="decimal"/>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1)"/>
      <w:numFmt w:val="lowerRoman"/>
      <w:start w:val="7"/>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1)"/>
      <w:numFmt w:val="lowerRoman"/>
      <w:start w:val="2"/>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1)"/>
      <w:numFmt w:val="lowerRoman"/>
      <w:start w:val="1"/>
    </w:lvl>
  </w:abstractNum>
  <w:abstractNum w:abstractNumId="18">
    <w:nsid w:val="46B7D447"/>
    <w:multiLevelType w:val="hybridMultilevel"/>
    <w:lvl w:ilvl="0">
      <w:lvlJc w:val="left"/>
      <w:lvlText w:val="(%1)"/>
      <w:numFmt w:val="lowerRoman"/>
      <w:start w:val="2"/>
    </w:lvl>
  </w:abstractNum>
  <w:abstractNum w:abstractNumId="19">
    <w:nsid w:val="4A2AC315"/>
    <w:multiLevelType w:val="hybridMultilevel"/>
    <w:lvl w:ilvl="0">
      <w:lvlJc w:val="left"/>
      <w:lvlText w:val="(%1)"/>
      <w:numFmt w:val="lowerRoman"/>
      <w:start w:val="3"/>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1)"/>
      <w:numFmt w:val="lowerRoman"/>
      <w:start w:val="6"/>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lvl w:ilvl="1">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o"/>
      <w:numFmt w:val="bullet"/>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1)"/>
      <w:numFmt w:val="decimal"/>
      <w:start w:val="1"/>
    </w:lvl>
  </w:abstractNum>
  <w:abstractNum w:abstractNumId="60">
    <w:nsid w:val="7C58FD05"/>
    <w:multiLevelType w:val="hybridMultilevel"/>
    <w:lvl w:ilvl="0">
      <w:lvlJc w:val="left"/>
      <w:lvlText w:val="(%1)"/>
      <w:numFmt w:val="decimal"/>
      <w:start w:val="2"/>
    </w:lvl>
    <w:lvl w:ilvl="1">
      <w:lvlJc w:val="left"/>
      <w:lvlText w:val="(%2)"/>
      <w:numFmt w:val="lowerRoman"/>
      <w:start w:val="2"/>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1)"/>
      <w:numFmt w:val="decimal"/>
      <w:start w:val="1"/>
    </w:lvl>
  </w:abstractNum>
  <w:abstractNum w:abstractNumId="64">
    <w:nsid w:val="E7FFA2B"/>
    <w:multiLevelType w:val="hybridMultilevel"/>
    <w:lvl w:ilvl="0">
      <w:lvlJc w:val="left"/>
      <w:lvlText w:val="(%1)"/>
      <w:numFmt w:val="decimal"/>
      <w:start w:val="22"/>
    </w:lvl>
  </w:abstractNum>
  <w:abstractNum w:abstractNumId="65">
    <w:nsid w:val="3C5991AA"/>
    <w:multiLevelType w:val="hybridMultilevel"/>
    <w:lvl w:ilvl="0">
      <w:lvlJc w:val="left"/>
      <w:lvlText w:val="(%1)"/>
      <w:numFmt w:val="decimal"/>
      <w:start w:val="50"/>
    </w:lvl>
  </w:abstractNum>
  <w:abstractNum w:abstractNumId="66">
    <w:nsid w:val="4BD8591A"/>
    <w:multiLevelType w:val="hybridMultilevel"/>
    <w:lvl w:ilvl="0">
      <w:lvlJc w:val="left"/>
      <w:lvlText w:val="(%1)"/>
      <w:numFmt w:val="decimal"/>
      <w:start w:val="8"/>
    </w:lvl>
  </w:abstractNum>
  <w:abstractNum w:abstractNumId="67">
    <w:nsid w:val="78DF6A55"/>
    <w:multiLevelType w:val="hybridMultilevel"/>
    <w:lvl w:ilvl="0">
      <w:lvlJc w:val="left"/>
      <w:lvlText w:val="(%1)"/>
      <w:numFmt w:val="decimal"/>
      <w:start w:val="2"/>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
      <w:numFmt w:val="bullet"/>
      <w:start w:val="1"/>
    </w:lvl>
  </w:abstractNum>
  <w:abstractNum w:abstractNumId="71">
    <w:nsid w:val="379E21B5"/>
    <w:multiLevelType w:val="hybridMultilevel"/>
    <w:lvl w:ilvl="0">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1)"/>
      <w:numFmt w:val="decimal"/>
      <w:start w:val="1"/>
    </w:lvl>
  </w:abstractNum>
  <w:abstractNum w:abstractNumId="74">
    <w:nsid w:val="4C9B0904"/>
    <w:multiLevelType w:val="hybridMultilevel"/>
    <w:lvl w:ilvl="0">
      <w:lvlJc w:val="left"/>
      <w:lvlText w:val="(%1)"/>
      <w:numFmt w:val="decimal"/>
      <w:start w:val="1"/>
    </w:lvl>
  </w:abstractNum>
  <w:abstractNum w:abstractNumId="75">
    <w:nsid w:val="6AA7B75C"/>
    <w:multiLevelType w:val="hybridMultilevel"/>
    <w:lvl w:ilvl="0">
      <w:lvlJc w:val="left"/>
      <w:lvlText w:val="(%1)"/>
      <w:numFmt w:val="lowerRoman"/>
      <w:start w:val="2"/>
    </w:lvl>
  </w:abstractNum>
  <w:abstractNum w:abstractNumId="76">
    <w:nsid w:val="1DF029D3"/>
    <w:multiLevelType w:val="hybridMultilevel"/>
    <w:lvl w:ilvl="0">
      <w:lvlJc w:val="left"/>
      <w:lvlText w:val="(%1)"/>
      <w:numFmt w:val="lowerRoman"/>
      <w:start w:val="2"/>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1)"/>
      <w:numFmt w:val="decimal"/>
      <w:start w:val="1"/>
    </w:lvl>
  </w:abstractNum>
  <w:abstractNum w:abstractNumId="79">
    <w:nsid w:val="3DB012B3"/>
    <w:multiLevelType w:val="hybridMultilevel"/>
    <w:lvl w:ilvl="0">
      <w:lvlJc w:val="left"/>
      <w:lvlText w:val="(%1)"/>
      <w:numFmt w:val="decimal"/>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1)"/>
      <w:numFmt w:val="upperLetter"/>
      <w:start w:val="1"/>
    </w:lvl>
  </w:abstractNum>
  <w:abstractNum w:abstractNumId="82">
    <w:nsid w:val="175DFCF0"/>
    <w:multiLevelType w:val="hybridMultilevel"/>
    <w:lvl w:ilvl="0">
      <w:lvlJc w:val="left"/>
      <w:lvlText w:val="●"/>
      <w:numFmt w:val="bullet"/>
      <w:start w:val="1"/>
    </w:lvl>
  </w:abstractNum>
  <w:abstractNum w:abstractNumId="83">
    <w:nsid w:val="4F97E3E4"/>
    <w:multiLevelType w:val="hybridMultilevel"/>
    <w:lvl w:ilvl="0">
      <w:lvlJc w:val="left"/>
      <w:lvlText w:val="●"/>
      <w:numFmt w:val="bullet"/>
      <w:start w:val="1"/>
    </w:lvl>
  </w:abstractNum>
  <w:abstractNum w:abstractNumId="84">
    <w:nsid w:val="53B0A9E"/>
    <w:multiLevelType w:val="hybridMultilevel"/>
    <w:lvl w:ilvl="0">
      <w:lvlJc w:val="left"/>
      <w:lvlText w:val="●"/>
      <w:numFmt w:val="bullet"/>
      <w:start w:val="1"/>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
      <w:numFmt w:val="bullet"/>
      <w:start w:val="1"/>
    </w:lvl>
  </w:abstractNum>
  <w:abstractNum w:abstractNumId="87">
    <w:nsid w:val="56438D15"/>
    <w:multiLevelType w:val="hybridMultilevel"/>
    <w:lvl w:ilvl="0">
      <w:lvlJc w:val="left"/>
      <w:lvlText w:val="●"/>
      <w:numFmt w:val="bullet"/>
      <w:start w:val="1"/>
    </w:lvl>
  </w:abstractNum>
  <w:abstractNum w:abstractNumId="88">
    <w:nsid w:val="519E3149"/>
    <w:multiLevelType w:val="hybridMultilevel"/>
    <w:lvl w:ilvl="0">
      <w:lvlJc w:val="left"/>
      <w:lvlText w:val="●"/>
      <w:numFmt w:val="bullet"/>
      <w:start w:val="1"/>
    </w:lvl>
  </w:abstractNum>
  <w:abstractNum w:abstractNumId="89">
    <w:nsid w:val="2C6E4AFD"/>
    <w:multiLevelType w:val="hybridMultilevel"/>
    <w:lvl w:ilvl="0">
      <w:lvlJc w:val="left"/>
      <w:lvlText w:val="%1."/>
      <w:numFmt w:val="decimal"/>
      <w:start w:val="1"/>
    </w:lvl>
  </w:abstractNum>
  <w:abstractNum w:abstractNumId="90">
    <w:nsid w:val="17A1B582"/>
    <w:multiLevelType w:val="hybridMultilevel"/>
    <w:lvl w:ilvl="0">
      <w:lvlJc w:val="left"/>
      <w:lvlText w:val="●"/>
      <w:numFmt w:val="bullet"/>
      <w:start w:val="1"/>
    </w:lvl>
  </w:abstractNum>
  <w:abstractNum w:abstractNumId="91">
    <w:nsid w:val="4DF72E4E"/>
    <w:multiLevelType w:val="hybridMultilevel"/>
    <w:lvl w:ilvl="0">
      <w:lvlJc w:val="left"/>
      <w:lvlText w:val="(%1)"/>
      <w:numFmt w:val="upperLetter"/>
      <w:start w:val="1"/>
    </w:lvl>
  </w:abstractNum>
  <w:abstractNum w:abstractNumId="92">
    <w:nsid w:val="5046B5A9"/>
    <w:multiLevelType w:val="hybridMultilevel"/>
    <w:lvl w:ilvl="0">
      <w:lvlJc w:val="left"/>
      <w:lvlText w:val="%1."/>
      <w:numFmt w:val="decimal"/>
      <w:start w:val="1"/>
    </w:lvl>
  </w:abstractNum>
  <w:abstractNum w:abstractNumId="93">
    <w:nsid w:val="5D888A08"/>
    <w:multiLevelType w:val="hybridMultilevel"/>
    <w:lvl w:ilvl="0">
      <w:lvlJc w:val="left"/>
      <w:lvlText w:val="%1."/>
      <w:numFmt w:val="decimal"/>
      <w:start w:val="2"/>
    </w:lvl>
  </w:abstractNum>
  <w:abstractNum w:abstractNumId="94">
    <w:nsid w:val="2A082C70"/>
    <w:multiLevelType w:val="hybridMultilevel"/>
    <w:lvl w:ilvl="0">
      <w:lvlJc w:val="left"/>
      <w:lvlText w:val="%1."/>
      <w:numFmt w:val="decimal"/>
      <w:start w:val="3"/>
    </w:lvl>
  </w:abstractNum>
  <w:abstractNum w:abstractNumId="95">
    <w:nsid w:val="5EC6AFD4"/>
    <w:multiLevelType w:val="hybridMultilevel"/>
    <w:lvl w:ilvl="0">
      <w:lvlJc w:val="left"/>
      <w:lvlText w:val="%1."/>
      <w:numFmt w:val="lowerRoman"/>
      <w:start w:val="1"/>
    </w:lvl>
  </w:abstractNum>
  <w:abstractNum w:abstractNumId="96">
    <w:nsid w:val="19E21BB2"/>
    <w:multiLevelType w:val="hybridMultilevel"/>
    <w:lvl w:ilvl="0">
      <w:lvlJc w:val="left"/>
      <w:lvlText w:val="%1."/>
      <w:numFmt w:val="lowerRoman"/>
      <w:start w:val="5"/>
    </w:lvl>
  </w:abstractNum>
  <w:abstractNum w:abstractNumId="97">
    <w:nsid w:val="75E0858A"/>
    <w:multiLevelType w:val="hybridMultilevel"/>
    <w:lvl w:ilvl="0">
      <w:lvlJc w:val="left"/>
      <w:lvlText w:val="●"/>
      <w:numFmt w:val="bullet"/>
      <w:start w:val="1"/>
    </w:lvl>
  </w:abstractNum>
  <w:abstractNum w:abstractNumId="98">
    <w:nsid w:val="57A61A29"/>
    <w:multiLevelType w:val="hybridMultilevel"/>
    <w:lvl w:ilvl="0">
      <w:lvlJc w:val="left"/>
      <w:lvlText w:val="●"/>
      <w:numFmt w:val="bullet"/>
      <w:start w:val="1"/>
    </w:lvl>
  </w:abstractNum>
  <w:abstractNum w:abstractNumId="99">
    <w:nsid w:val="5399C654"/>
    <w:multiLevelType w:val="hybridMultilevel"/>
    <w:lvl w:ilvl="0">
      <w:lvlJc w:val="left"/>
      <w:lvlText w:val="%1."/>
      <w:numFmt w:val="lowerRoman"/>
      <w:start w:val="10"/>
    </w:lvl>
  </w:abstractNum>
  <w:abstractNum w:abstractNumId="100">
    <w:nsid w:val="20EE1348"/>
    <w:multiLevelType w:val="hybridMultilevel"/>
    <w:lvl w:ilvl="0">
      <w:lvlJc w:val="left"/>
      <w:lvlText w:val="%1."/>
      <w:numFmt w:val="decimal"/>
      <w:start w:val="4"/>
    </w:lvl>
  </w:abstractNum>
  <w:abstractNum w:abstractNumId="101">
    <w:nsid w:val="4427069A"/>
    <w:multiLevelType w:val="hybridMultilevel"/>
    <w:lvl w:ilvl="0">
      <w:lvlJc w:val="left"/>
      <w:lvlText w:val="%1."/>
      <w:numFmt w:val="lowerRoman"/>
      <w:start w:val="1"/>
    </w:lvl>
  </w:abstractNum>
  <w:abstractNum w:abstractNumId="102">
    <w:nsid w:val="B37E80A"/>
    <w:multiLevelType w:val="hybridMultilevel"/>
    <w:lvl w:ilvl="0">
      <w:lvlJc w:val="left"/>
      <w:lvlText w:val="●"/>
      <w:numFmt w:val="bullet"/>
      <w:start w:val="1"/>
    </w:lvl>
  </w:abstractNum>
  <w:abstractNum w:abstractNumId="103">
    <w:nsid w:val="2157F6BC"/>
    <w:multiLevelType w:val="hybridMultilevel"/>
    <w:lvl w:ilvl="0">
      <w:lvlJc w:val="left"/>
      <w:lvlText w:val="%1."/>
      <w:numFmt w:val="decimal"/>
      <w:start w:val="5"/>
    </w:lvl>
  </w:abstractNum>
  <w:abstractNum w:abstractNumId="104">
    <w:nsid w:val="704E1DD5"/>
    <w:multiLevelType w:val="hybridMultilevel"/>
    <w:lvl w:ilvl="0">
      <w:lvlJc w:val="left"/>
      <w:lvlText w:val="%1."/>
      <w:numFmt w:val="decimal"/>
      <w:start w:val="6"/>
    </w:lvl>
  </w:abstractNum>
  <w:abstractNum w:abstractNumId="105">
    <w:nsid w:val="57D2F10E"/>
    <w:multiLevelType w:val="hybridMultilevel"/>
    <w:lvl w:ilvl="0">
      <w:lvlJc w:val="left"/>
      <w:lvlText w:val="%1."/>
      <w:numFmt w:val="decimal"/>
      <w:start w:val="7"/>
    </w:lvl>
  </w:abstractNum>
  <w:abstractNum w:abstractNumId="106">
    <w:nsid w:val="BFFAE18"/>
    <w:multiLevelType w:val="hybridMultilevel"/>
    <w:lvl w:ilvl="0">
      <w:lvlJc w:val="left"/>
      <w:lvlText w:val="%1"/>
      <w:numFmt w:val="decimal"/>
      <w:start w:val="1"/>
    </w:lvl>
    <w:lvl w:ilvl="1">
      <w:lvlJc w:val="left"/>
      <w:lvlText w:val="%2."/>
      <w:numFmt w:val="decimal"/>
      <w:start w:val="1"/>
    </w:lvl>
  </w:abstractNum>
  <w:abstractNum w:abstractNumId="107">
    <w:nsid w:val="E3E47A8"/>
    <w:multiLevelType w:val="hybridMultilevel"/>
    <w:lvl w:ilvl="0">
      <w:lvlJc w:val="left"/>
      <w:lvlText w:val="%1."/>
      <w:numFmt w:val="decimal"/>
      <w:start w:val="8"/>
    </w:lvl>
    <w:lvl w:ilvl="1">
      <w:lvlJc w:val="left"/>
      <w:lvlText w:val="%2"/>
      <w:numFmt w:val="decimal"/>
      <w:start w:val="1"/>
    </w:lvl>
  </w:abstractNum>
  <w:abstractNum w:abstractNumId="108">
    <w:nsid w:val="2E48F044"/>
    <w:multiLevelType w:val="hybridMultilevel"/>
    <w:lvl w:ilvl="0">
      <w:lvlJc w:val="left"/>
      <w:lvlText w:val="%1."/>
      <w:numFmt w:val="decimal"/>
      <w:start w:val="10"/>
    </w:lvl>
  </w:abstractNum>
  <w:abstractNum w:abstractNumId="109">
    <w:nsid w:val="49D0FEAC"/>
    <w:multiLevelType w:val="hybridMultilevel"/>
    <w:lvl w:ilvl="0">
      <w:lvlJc w:val="left"/>
      <w:lvlText w:val="%1."/>
      <w:numFmt w:val="decimal"/>
      <w:start w:val="11"/>
    </w:lvl>
  </w:abstractNum>
  <w:abstractNum w:abstractNumId="110">
    <w:nsid w:val="4BEE5A5B"/>
    <w:multiLevelType w:val="hybridMultilevel"/>
    <w:lvl w:ilvl="0">
      <w:lvlJc w:val="left"/>
      <w:lvlText w:val="●"/>
      <w:numFmt w:val="bullet"/>
      <w:start w:val="1"/>
    </w:lvl>
  </w:abstractNum>
  <w:abstractNum w:abstractNumId="111">
    <w:nsid w:val="5551B9F3"/>
    <w:multiLevelType w:val="hybridMultilevel"/>
    <w:lvl w:ilvl="0">
      <w:lvlJc w:val="left"/>
      <w:lvlText w:val="%1."/>
      <w:numFmt w:val="decimal"/>
      <w:start w:val="13"/>
    </w:lvl>
  </w:abstractNum>
  <w:abstractNum w:abstractNumId="112">
    <w:nsid w:val="24F6AB8E"/>
    <w:multiLevelType w:val="hybridMultilevel"/>
    <w:lvl w:ilvl="0">
      <w:lvlJc w:val="left"/>
      <w:lvlText w:val="●"/>
      <w:numFmt w:val="bullet"/>
      <w:start w:val="1"/>
    </w:lvl>
  </w:abstractNum>
  <w:abstractNum w:abstractNumId="113">
    <w:nsid w:val="634C574C"/>
    <w:multiLevelType w:val="hybridMultilevel"/>
    <w:lvl w:ilvl="0">
      <w:lvlJc w:val="left"/>
      <w:lvlText w:val="●"/>
      <w:numFmt w:val="bullet"/>
      <w:start w:val="1"/>
    </w:lvl>
  </w:abstractNum>
  <w:abstractNum w:abstractNumId="114">
    <w:nsid w:val="24E99DD7"/>
    <w:multiLevelType w:val="hybridMultilevel"/>
    <w:lvl w:ilvl="0">
      <w:lvlJc w:val="left"/>
      <w:lvlText w:val="(%1)"/>
      <w:numFmt w:val="lowerRoman"/>
      <w:start w:val="1"/>
    </w:lvl>
  </w:abstractNum>
  <w:abstractNum w:abstractNumId="115">
    <w:nsid w:val="2A31B62D"/>
    <w:multiLevelType w:val="hybridMultilevel"/>
    <w:lvl w:ilvl="0">
      <w:lvlJc w:val="left"/>
      <w:lvlText w:val="●"/>
      <w:numFmt w:val="bullet"/>
      <w:start w:val="1"/>
    </w:lvl>
  </w:abstractNum>
  <w:abstractNum w:abstractNumId="116">
    <w:nsid w:val="1849C29B"/>
    <w:multiLevelType w:val="hybridMultilevel"/>
    <w:lvl w:ilvl="0">
      <w:lvlJc w:val="left"/>
      <w:lvlText w:val="%1."/>
      <w:numFmt w:val="decimal"/>
      <w:start w:val="15"/>
    </w:lvl>
  </w:abstractNum>
  <w:abstractNum w:abstractNumId="117">
    <w:nsid w:val="7DFF9D09"/>
    <w:multiLevelType w:val="hybridMultilevel"/>
    <w:lvl w:ilvl="0">
      <w:lvlJc w:val="left"/>
      <w:lvlText w:val="%1."/>
      <w:numFmt w:val="decimal"/>
      <w:start w:val="16"/>
    </w:lvl>
  </w:abstractNum>
  <w:abstractNum w:abstractNumId="118">
    <w:nsid w:val="754342"/>
    <w:multiLevelType w:val="hybridMultilevel"/>
    <w:lvl w:ilvl="0">
      <w:lvlJc w:val="left"/>
      <w:lvlText w:val="(%1)"/>
      <w:numFmt w:val="decimal"/>
      <w:start w:val="1"/>
    </w:lvl>
  </w:abstractNum>
  <w:abstractNum w:abstractNumId="119">
    <w:nsid w:val="69E7F3E5"/>
    <w:multiLevelType w:val="hybridMultilevel"/>
    <w:lvl w:ilvl="0">
      <w:lvlJc w:val="left"/>
      <w:lvlText w:val="%1."/>
      <w:numFmt w:val="decimal"/>
      <w:start w:val="1"/>
    </w:lvl>
  </w:abstractNum>
  <w:abstractNum w:abstractNumId="120">
    <w:nsid w:val="2A6DE806"/>
    <w:multiLevelType w:val="hybridMultilevel"/>
    <w:lvl w:ilvl="0">
      <w:lvlJc w:val="left"/>
      <w:lvlText w:val="%1."/>
      <w:numFmt w:val="decimal"/>
      <w:start w:val="17"/>
    </w:lvl>
  </w:abstractNum>
  <w:abstractNum w:abstractNumId="121">
    <w:nsid w:val="1816F8C4"/>
    <w:multiLevelType w:val="hybridMultilevel"/>
    <w:lvl w:ilvl="0">
      <w:lvlJc w:val="left"/>
      <w:lvlText w:val="%1."/>
      <w:numFmt w:val="decimal"/>
      <w:start w:val="18"/>
    </w:lvl>
  </w:abstractNum>
  <w:abstractNum w:abstractNumId="122">
    <w:nsid w:val="37DF2233"/>
    <w:multiLevelType w:val="hybridMultilevel"/>
    <w:lvl w:ilvl="0">
      <w:lvlJc w:val="left"/>
      <w:lvlText w:val="%1."/>
      <w:numFmt w:val="decimal"/>
      <w:start w:val="19"/>
    </w:lvl>
  </w:abstractNum>
  <w:abstractNum w:abstractNumId="123">
    <w:nsid w:val="7AB49DAF"/>
    <w:multiLevelType w:val="hybridMultilevel"/>
    <w:lvl w:ilvl="0">
      <w:lvlJc w:val="left"/>
      <w:lvlText w:val="%1."/>
      <w:numFmt w:val="decimal"/>
      <w:start w:val="21"/>
    </w:lvl>
  </w:abstractNum>
  <w:abstractNum w:abstractNumId="124">
    <w:nsid w:val="759F82CD"/>
    <w:multiLevelType w:val="hybridMultilevel"/>
    <w:lvl w:ilvl="0">
      <w:lvlJc w:val="left"/>
      <w:lvlText w:val="%1."/>
      <w:numFmt w:val="decimal"/>
      <w:start w:val="22"/>
    </w:lvl>
  </w:abstractNum>
  <w:abstractNum w:abstractNumId="125">
    <w:nsid w:val="61E74EA3"/>
    <w:multiLevelType w:val="hybridMultilevel"/>
    <w:lvl w:ilvl="0">
      <w:lvlJc w:val="left"/>
      <w:lvlText w:val="(%1)"/>
      <w:numFmt w:val="decimal"/>
      <w:start w:val="1"/>
    </w:lvl>
  </w:abstractNum>
  <w:abstractNum w:abstractNumId="126">
    <w:nsid w:val="597B4D84"/>
    <w:multiLevelType w:val="hybridMultilevel"/>
    <w:lvl w:ilvl="0">
      <w:lvlJc w:val="left"/>
      <w:lvlText w:val="(%1)"/>
      <w:numFmt w:val="decimal"/>
      <w:start w:val="1"/>
    </w:lvl>
  </w:abstractNum>
  <w:abstractNum w:abstractNumId="127">
    <w:nsid w:val="F819E7F"/>
    <w:multiLevelType w:val="hybridMultilevel"/>
    <w:lvl w:ilvl="0">
      <w:lvlJc w:val="left"/>
      <w:lvlText w:val="(%1)"/>
      <w:numFmt w:val="decimal"/>
      <w:start w:val="1"/>
    </w:lvl>
  </w:abstractNum>
  <w:abstractNum w:abstractNumId="128">
    <w:nsid w:val="57C7D42D"/>
    <w:multiLevelType w:val="hybridMultilevel"/>
    <w:lvl w:ilvl="0">
      <w:lvlJc w:val="left"/>
      <w:lvlText w:val="%1."/>
      <w:numFmt w:val="decimal"/>
      <w:start w:val="1"/>
    </w:lvl>
  </w:abstractNum>
  <w:abstractNum w:abstractNumId="129">
    <w:nsid w:val="312167AD"/>
    <w:multiLevelType w:val="hybridMultilevel"/>
    <w:lvl w:ilvl="0">
      <w:lvlJc w:val="left"/>
      <w:lvlText w:val="%1."/>
      <w:numFmt w:val="decimal"/>
      <w:start w:val="2"/>
    </w:lvl>
    <w:lvl w:ilvl="1">
      <w:lvlJc w:val="left"/>
      <w:lvlText w:val="●"/>
      <w:numFmt w:val="bullet"/>
      <w:start w:val="1"/>
    </w:lvl>
  </w:abstractNum>
  <w:abstractNum w:abstractNumId="130">
    <w:nsid w:val="631B64D4"/>
    <w:multiLevelType w:val="hybridMultilevel"/>
    <w:lvl w:ilvl="0">
      <w:lvlJc w:val="left"/>
      <w:lvlText w:val="%1."/>
      <w:numFmt w:val="decimal"/>
      <w:start w:val="3"/>
    </w:lvl>
  </w:abstractNum>
  <w:abstractNum w:abstractNumId="131">
    <w:nsid w:val="78B5E776"/>
    <w:multiLevelType w:val="hybridMultilevel"/>
    <w:lvl w:ilvl="0">
      <w:lvlJc w:val="left"/>
      <w:lvlText w:val="%1."/>
      <w:numFmt w:val="decimal"/>
      <w:start w:val="4"/>
    </w:lvl>
  </w:abstractNum>
  <w:abstractNum w:abstractNumId="132">
    <w:nsid w:val="75486E47"/>
    <w:multiLevelType w:val="hybridMultilevel"/>
    <w:lvl w:ilvl="0">
      <w:lvlJc w:val="left"/>
      <w:lvlText w:val="%1."/>
      <w:numFmt w:val="decimal"/>
      <w:start w:val="5"/>
    </w:lvl>
  </w:abstractNum>
  <w:abstractNum w:abstractNumId="133">
    <w:nsid w:val="6E534CDE"/>
    <w:multiLevelType w:val="hybridMultilevel"/>
    <w:lvl w:ilvl="0">
      <w:lvlJc w:val="left"/>
      <w:lvlText w:val="%1."/>
      <w:numFmt w:val="decimal"/>
      <w:start w:val="6"/>
    </w:lvl>
  </w:abstractNum>
  <w:abstractNum w:abstractNumId="134">
    <w:nsid w:val="1A0DDE32"/>
    <w:multiLevelType w:val="hybridMultilevel"/>
    <w:lvl w:ilvl="0">
      <w:lvlJc w:val="left"/>
      <w:lvlText w:val="%1."/>
      <w:numFmt w:val="decimal"/>
      <w:start w:val="7"/>
    </w:lvl>
  </w:abstractNum>
  <w:abstractNum w:abstractNumId="135">
    <w:nsid w:val="65968C1C"/>
    <w:multiLevelType w:val="hybridMultilevel"/>
    <w:lvl w:ilvl="0">
      <w:lvlJc w:val="left"/>
      <w:lvlText w:val="%1."/>
      <w:numFmt w:val="decimal"/>
      <w:start w:val="8"/>
    </w:lvl>
  </w:abstractNum>
  <w:abstractNum w:abstractNumId="136">
    <w:nsid w:val="46263DEC"/>
    <w:multiLevelType w:val="hybridMultilevel"/>
    <w:lvl w:ilvl="0">
      <w:lvlJc w:val="left"/>
      <w:lvlText w:val="%1."/>
      <w:numFmt w:val="decimal"/>
      <w:start w:val="9"/>
    </w:lvl>
  </w:abstractNum>
  <w:abstractNum w:abstractNumId="137">
    <w:nsid w:val="260D8C4A"/>
    <w:multiLevelType w:val="hybridMultilevel"/>
    <w:lvl w:ilvl="0">
      <w:lvlJc w:val="left"/>
      <w:lvlText w:val="%1."/>
      <w:numFmt w:val="decimal"/>
      <w:start w:val="10"/>
    </w:lvl>
  </w:abstractNum>
  <w:abstractNum w:abstractNumId="138">
    <w:nsid w:val="73D4D3C4"/>
    <w:multiLevelType w:val="hybridMultilevel"/>
    <w:lvl w:ilvl="0">
      <w:lvlJc w:val="left"/>
      <w:lvlText w:val="*"/>
      <w:numFmt w:val="bullet"/>
      <w:start w:val="1"/>
    </w:lvl>
  </w:abstractNum>
  <w:abstractNum w:abstractNumId="139">
    <w:nsid w:val="746F2E30"/>
    <w:multiLevelType w:val="hybridMultilevel"/>
    <w:lvl w:ilvl="0">
      <w:lvlJc w:val="left"/>
      <w:lvlText w:val="(%1)"/>
      <w:numFmt w:val="lowerLetter"/>
      <w:start w:val="1"/>
    </w:lvl>
  </w:abstractNum>
  <w:abstractNum w:abstractNumId="140">
    <w:nsid w:val="6FDE8AF6"/>
    <w:multiLevelType w:val="hybridMultilevel"/>
    <w:lvl w:ilvl="0">
      <w:lvlJc w:val="left"/>
      <w:lvlText w:val="%1"/>
      <w:numFmt w:val="decimal"/>
      <w:start w:val="107"/>
    </w:lvl>
  </w:abstractNum>
  <w:abstractNum w:abstractNumId="141">
    <w:nsid w:val="3FC32E20"/>
    <w:multiLevelType w:val="hybridMultilevel"/>
    <w:lvl w:ilvl="0">
      <w:lvlJc w:val="left"/>
      <w:lvlText w:val="†"/>
      <w:numFmt w:val="bullet"/>
      <w:start w:val="1"/>
    </w:lvl>
  </w:abstractNum>
  <w:abstractNum w:abstractNumId="142">
    <w:nsid w:val="49C0E823"/>
    <w:multiLevelType w:val="hybridMultilevel"/>
    <w:lvl w:ilvl="0">
      <w:lvlJc w:val="left"/>
      <w:lvlText w:val="††"/>
      <w:numFmt w:val="bullet"/>
      <w:start w:val="1"/>
    </w:lvl>
  </w:abstractNum>
  <w:abstractNum w:abstractNumId="143">
    <w:nsid w:val="14D53685"/>
    <w:multiLevelType w:val="hybridMultilevel"/>
    <w:lvl w:ilvl="0">
      <w:lvlJc w:val="left"/>
      <w:lvlText w:val="+"/>
      <w:numFmt w:val="bullet"/>
      <w:start w:val="1"/>
    </w:lvl>
  </w:abstractNum>
  <w:abstractNum w:abstractNumId="144">
    <w:nsid w:val="230F856C"/>
    <w:multiLevelType w:val="hybridMultilevel"/>
    <w:lvl w:ilvl="0">
      <w:lvlJc w:val="left"/>
      <w:lvlText w:val="(%1)"/>
      <w:numFmt w:val="decimal"/>
      <w:start w:val="1"/>
    </w:lvl>
    <w:lvl w:ilvl="1">
      <w:lvlJc w:val="left"/>
      <w:lvlText w:val="(%2)"/>
      <w:numFmt w:val="lowerRoman"/>
      <w:start w:val="1"/>
    </w:lvl>
  </w:abstractNum>
  <w:abstractNum w:abstractNumId="145">
    <w:nsid w:val="6EAA85FB"/>
    <w:multiLevelType w:val="hybridMultilevel"/>
    <w:lvl w:ilvl="0">
      <w:lvlJc w:val="left"/>
      <w:lvlText w:val="(%1)"/>
      <w:numFmt w:val="decimal"/>
      <w:start w:val="2"/>
    </w:lvl>
    <w:lvl w:ilvl="1">
      <w:lvlJc w:val="left"/>
      <w:lvlText w:val="(%2)"/>
      <w:numFmt w:val="lowerRoman"/>
      <w:start w:val="1"/>
    </w:lvl>
  </w:abstractNum>
  <w:abstractNum w:abstractNumId="146">
    <w:nsid w:val="3F06ECB2"/>
    <w:multiLevelType w:val="hybridMultilevel"/>
    <w:lvl w:ilvl="0">
      <w:lvlJc w:val="left"/>
      <w:lvlText w:val="%1"/>
      <w:numFmt w:val="decimal"/>
      <w:start w:val="1"/>
    </w:lvl>
    <w:lvl w:ilvl="1">
      <w:lvlJc w:val="left"/>
      <w:lvlText w:val="(%2)"/>
      <w:numFmt w:val="lowerRoman"/>
      <w:start w:val="2"/>
    </w:lvl>
  </w:abstractNum>
  <w:abstractNum w:abstractNumId="147">
    <w:nsid w:val="3B594807"/>
    <w:multiLevelType w:val="hybridMultilevel"/>
    <w:lvl w:ilvl="0">
      <w:lvlJc w:val="left"/>
      <w:lvlText w:val="(%1)"/>
      <w:numFmt w:val="decimal"/>
      <w:start w:val="5"/>
    </w:lvl>
    <w:lvl w:ilvl="1">
      <w:lvlJc w:val="left"/>
      <w:lvlText w:val="(%2)"/>
      <w:numFmt w:val="lowerRoman"/>
      <w:start w:val="1"/>
    </w:lvl>
  </w:abstractNum>
  <w:abstractNum w:abstractNumId="148">
    <w:nsid w:val="6CAA2304"/>
    <w:multiLevelType w:val="hybridMultilevel"/>
    <w:lvl w:ilvl="0">
      <w:lvlJc w:val="left"/>
      <w:lvlText w:val="●"/>
      <w:numFmt w:val="bullet"/>
      <w:start w:val="1"/>
    </w:lvl>
  </w:abstractNum>
  <w:abstractNum w:abstractNumId="149">
    <w:nsid w:val="3F7C2FF4"/>
    <w:multiLevelType w:val="hybridMultilevel"/>
    <w:lvl w:ilvl="0">
      <w:lvlJc w:val="left"/>
      <w:lvlText w:val="●"/>
      <w:numFmt w:val="bullet"/>
      <w:start w:val="1"/>
    </w:lvl>
  </w:abstractNum>
  <w:abstractNum w:abstractNumId="150">
    <w:nsid w:val="25413BEC"/>
    <w:multiLevelType w:val="hybridMultilevel"/>
    <w:lvl w:ilvl="0">
      <w:lvlJc w:val="left"/>
      <w:lvlText w:val="●"/>
      <w:numFmt w:val="bullet"/>
      <w:start w:val="1"/>
    </w:lvl>
  </w:abstractNum>
  <w:abstractNum w:abstractNumId="151">
    <w:nsid w:val="17180B0B"/>
    <w:multiLevelType w:val="hybridMultilevel"/>
    <w:lvl w:ilvl="0">
      <w:lvlJc w:val="left"/>
      <w:lvlText w:val="●"/>
      <w:numFmt w:val="bullet"/>
      <w:start w:val="1"/>
    </w:lvl>
  </w:abstractNum>
  <w:abstractNum w:abstractNumId="152">
    <w:nsid w:val="579328B9"/>
    <w:multiLevelType w:val="hybridMultilevel"/>
    <w:lvl w:ilvl="0">
      <w:lvlJc w:val="left"/>
      <w:lvlText w:val="●"/>
      <w:numFmt w:val="bullet"/>
      <w:start w:val="1"/>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
      <w:numFmt w:val="bullet"/>
      <w:start w:val="1"/>
    </w:lvl>
  </w:abstractNum>
  <w:abstractNum w:abstractNumId="155">
    <w:nsid w:val="4D32AB86"/>
    <w:multiLevelType w:val="hybridMultilevel"/>
    <w:lvl w:ilvl="0">
      <w:lvlJc w:val="left"/>
      <w:lvlText w:val="●"/>
      <w:numFmt w:val="bullet"/>
      <w:start w:val="1"/>
    </w:lvl>
  </w:abstractNum>
  <w:abstractNum w:abstractNumId="156">
    <w:nsid w:val="3F07ACC3"/>
    <w:multiLevelType w:val="hybridMultilevel"/>
    <w:lvl w:ilvl="0">
      <w:lvlJc w:val="left"/>
      <w:lvlText w:val="●"/>
      <w:numFmt w:val="bullet"/>
      <w:start w:val="1"/>
    </w:lvl>
  </w:abstractNum>
  <w:abstractNum w:abstractNumId="157">
    <w:nsid w:val="6B47F63E"/>
    <w:multiLevelType w:val="hybridMultilevel"/>
    <w:lvl w:ilvl="0">
      <w:lvlJc w:val="left"/>
      <w:lvlText w:val="●"/>
      <w:numFmt w:val="bullet"/>
      <w:start w:val="1"/>
    </w:lvl>
  </w:abstractNum>
  <w:abstractNum w:abstractNumId="158">
    <w:nsid w:val="5CB44A05"/>
    <w:multiLevelType w:val="hybridMultilevel"/>
    <w:lvl w:ilvl="0">
      <w:lvlJc w:val="left"/>
      <w:lvlText w:val="●"/>
      <w:numFmt w:val="bullet"/>
      <w:start w:val="1"/>
    </w:lvl>
  </w:abstractNum>
  <w:abstractNum w:abstractNumId="159">
    <w:nsid w:val="16CF80F1"/>
    <w:multiLevelType w:val="hybridMultilevel"/>
    <w:lvl w:ilvl="0">
      <w:lvlJc w:val="left"/>
      <w:lvlText w:val="●"/>
      <w:numFmt w:val="bullet"/>
      <w:start w:val="1"/>
    </w:lvl>
  </w:abstractNum>
  <w:abstractNum w:abstractNumId="160">
    <w:nsid w:val="1C695DEC"/>
    <w:multiLevelType w:val="hybridMultilevel"/>
    <w:lvl w:ilvl="0">
      <w:lvlJc w:val="left"/>
      <w:lvlText w:val="●"/>
      <w:numFmt w:val="bullet"/>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91" Type="http://schemas.openxmlformats.org/officeDocument/2006/relationships/image" Target="media/image272.png"/><Relationship Id="rId312"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jpeg"/><Relationship Id="rId329" Type="http://schemas.openxmlformats.org/officeDocument/2006/relationships/image" Target="media/image281.png"/><Relationship Id="rId330" Type="http://schemas.openxmlformats.org/officeDocument/2006/relationships/image" Target="media/image282.jpe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279" Type="http://schemas.openxmlformats.org/officeDocument/2006/relationships/hyperlink" Target="https://www.sec.gov/Archives/edgar/data/1798562/000121390021013347/ea137001ex2-1_sustainable.htm" TargetMode="External"/><Relationship Id="rId280" Type="http://schemas.openxmlformats.org/officeDocument/2006/relationships/hyperlink" Target="https://www.sec.gov/Archives/edgar/data/1798562/000121390021048263/ea147369ex3-1_tmcthemet.htm" TargetMode="External"/><Relationship Id="rId281" Type="http://schemas.openxmlformats.org/officeDocument/2006/relationships/hyperlink" Target="https://www.sec.gov/Archives/edgar/data/1798562/000121390021048263/ea147369ex3-2_tmcthemet.htm" TargetMode="External"/><Relationship Id="rId282" Type="http://schemas.openxmlformats.org/officeDocument/2006/relationships/hyperlink" Target="https://www.sec.gov/Archives/edgar/data/1798562/000121390021048261/ea147253ex4-1_tmcthemet.htm" TargetMode="External"/><Relationship Id="rId283" Type="http://schemas.openxmlformats.org/officeDocument/2006/relationships/hyperlink" Target="https://www.sec.gov/Archives/edgar/data/1798562/000121390020011491/ea121545ex4-1_sustainable.htm" TargetMode="External"/><Relationship Id="rId284" Type="http://schemas.openxmlformats.org/officeDocument/2006/relationships/hyperlink" Target="https://www.sec.gov/Archives/edgar/data/1798562/000121390021051893/fs12021ex5-1_tmcthemet.htm" TargetMode="External"/><Relationship Id="rId285" Type="http://schemas.openxmlformats.org/officeDocument/2006/relationships/hyperlink" Target="https://www.sec.gov/Archives/edgar/data/1798562/000121390021051893/fs12021ex5-2_tmcthemet.htm" TargetMode="External"/><Relationship Id="rId286" Type="http://schemas.openxmlformats.org/officeDocument/2006/relationships/hyperlink" Target="https://www.sec.gov/Archives/edgar/data/1798562/000121390021040480/fs42021a5_sustainableopp.htm#T108" TargetMode="External"/><Relationship Id="rId287" Type="http://schemas.openxmlformats.org/officeDocument/2006/relationships/hyperlink" Target="https://www.sec.gov/Archives/edgar/data/1798562/000121390021020731/fs42021ex10-7_sustainable.htm" TargetMode="External"/><Relationship Id="rId288" Type="http://schemas.openxmlformats.org/officeDocument/2006/relationships/hyperlink" Target="https://www.sec.gov/Archives/edgar/data/1798562/000121390021020731/fs42021ex10-8_sustainable.htm" TargetMode="External"/><Relationship Id="rId289" Type="http://schemas.openxmlformats.org/officeDocument/2006/relationships/hyperlink" Target="https://www.sec.gov/Archives/edgar/data/1798562/000121390021020731/fs42021ex10-9_sustainable.htm" TargetMode="External"/><Relationship Id="rId290" Type="http://schemas.openxmlformats.org/officeDocument/2006/relationships/hyperlink" Target="https://www.sec.gov/Archives/edgar/data/1798562/000121390021036767/fs42021ex10-23_sustainable.htm" TargetMode="External"/><Relationship Id="rId292" Type="http://schemas.openxmlformats.org/officeDocument/2006/relationships/hyperlink" Target="https://www.sec.gov/Archives/edgar/data/1798562/000121390021020731/fs42021ex10-13_sustainable.htm" TargetMode="External"/><Relationship Id="rId293" Type="http://schemas.openxmlformats.org/officeDocument/2006/relationships/hyperlink" Target="https://www.sec.gov/Archives/edgar/data/1798562/000121390021051893/fs12021ex10-13_tmcthemet.htm" TargetMode="External"/><Relationship Id="rId294" Type="http://schemas.openxmlformats.org/officeDocument/2006/relationships/hyperlink" Target="https://www.sec.gov/Archives/edgar/data/1798562/000121390021020731/fs42021ex10-14_sustainable.htm" TargetMode="External"/><Relationship Id="rId295" Type="http://schemas.openxmlformats.org/officeDocument/2006/relationships/hyperlink" Target="https://www.sec.gov/Archives/edgar/data/1798562/000121390021039153/fs42021a4ex10-24_sustainable.htm" TargetMode="External"/><Relationship Id="rId296" Type="http://schemas.openxmlformats.org/officeDocument/2006/relationships/hyperlink" Target="https://www.sec.gov/Archives/edgar/data/1798562/000121390021020731/fs42021ex10-15_sustainable.htm" TargetMode="External"/><Relationship Id="rId297" Type="http://schemas.openxmlformats.org/officeDocument/2006/relationships/hyperlink" Target="https://www.sec.gov/Archives/edgar/data/1798562/000121390021020731/fs42021ex10-16_sustainable.htm" TargetMode="External"/><Relationship Id="rId298" Type="http://schemas.openxmlformats.org/officeDocument/2006/relationships/hyperlink" Target="https://www.sec.gov/Archives/edgar/data/1798562/000121390021048263/ea147369ex10-18_tmcthemet.htm" TargetMode="External"/><Relationship Id="rId299" Type="http://schemas.openxmlformats.org/officeDocument/2006/relationships/hyperlink" Target="https://www.sec.gov/Archives/edgar/data/1798562/000121390021048263/ea147369ex10-19_tmcthemet.htm" TargetMode="External"/><Relationship Id="rId300" Type="http://schemas.openxmlformats.org/officeDocument/2006/relationships/hyperlink" Target="https://www.sec.gov/Archives/edgar/data/1798562/000121390021029413/fs42021a1ex10-17_sustainable.htm" TargetMode="External"/><Relationship Id="rId301" Type="http://schemas.openxmlformats.org/officeDocument/2006/relationships/hyperlink" Target="https://www.sec.gov/Archives/edgar/data/1798562/000110465922057493/tmc-20220331xex10d3.htm" TargetMode="External"/><Relationship Id="rId302" Type="http://schemas.openxmlformats.org/officeDocument/2006/relationships/hyperlink" Target="https://www.sec.gov/Archives/edgar/data/1798562/000121390021029413/fs42021a1ex10-19_sustainable.htm" TargetMode="External"/><Relationship Id="rId303" Type="http://schemas.openxmlformats.org/officeDocument/2006/relationships/hyperlink" Target="https://www.sec.gov/Archives/edgar/data/1798562/000110465922057493/tmc-20220331xex10d2.htm" TargetMode="External"/><Relationship Id="rId304" Type="http://schemas.openxmlformats.org/officeDocument/2006/relationships/hyperlink" Target="https://www.sec.gov/Archives/edgar/data/1798562/000121390021048263/ea147369ex10-23i_tmcthemet.htm" TargetMode="External"/><Relationship Id="rId305" Type="http://schemas.openxmlformats.org/officeDocument/2006/relationships/hyperlink" Target="https://www.sec.gov/Archives/edgar/data/1798562/000121390021048263/ea147369ex10-23ii_tmcthemet.htm" TargetMode="External"/><Relationship Id="rId306" Type="http://schemas.openxmlformats.org/officeDocument/2006/relationships/hyperlink" Target="https://www.sec.gov/Archives/edgar/data/1798562/000110465921141752/tm2133318d1_ex99-3.htm" TargetMode="External"/><Relationship Id="rId307" Type="http://schemas.openxmlformats.org/officeDocument/2006/relationships/hyperlink" Target="https://www.sec.gov/Archives/edgar/data/1798562/000121390021029413/fs42021a1ex10-20_sustainable.htm" TargetMode="External"/><Relationship Id="rId308" Type="http://schemas.openxmlformats.org/officeDocument/2006/relationships/hyperlink" Target="https://www.sec.gov/Archives/edgar/data/1798562/000121390021029413/fs42021a1ex10-21_sustainable.htm" TargetMode="External"/><Relationship Id="rId309" Type="http://schemas.openxmlformats.org/officeDocument/2006/relationships/hyperlink" Target="https://www.sec.gov/Archives/edgar/data/1798562/000121390021040480/fs42021a5_sustainableopp.htm#T104" TargetMode="External"/><Relationship Id="rId310" Type="http://schemas.openxmlformats.org/officeDocument/2006/relationships/hyperlink" Target="https://www.sec.gov/Archives/edgar/data/1798562/000121390021040480/fs42021a5_sustainableopp.htm#T105" TargetMode="External"/><Relationship Id="rId311" Type="http://schemas.openxmlformats.org/officeDocument/2006/relationships/hyperlink" Target="https://www.sec.gov/Archives/edgar/data/1798562/000121390021040480/fs42021a5_sustainableopp.htm#T107" TargetMode="External"/><Relationship Id="rId313" Type="http://schemas.openxmlformats.org/officeDocument/2006/relationships/hyperlink" Target="https://www.sec.gov/Archives/edgar/data/1798562/000121390021040480/fs42021a5_sustainableopp.htm#T106" TargetMode="External"/><Relationship Id="rId314" Type="http://schemas.openxmlformats.org/officeDocument/2006/relationships/hyperlink" Target="https://www.sec.gov/Archives/edgar/data/1798562/000110465922034803/tm229560d1_ex10-1.htm" TargetMode="External"/><Relationship Id="rId315" Type="http://schemas.openxmlformats.org/officeDocument/2006/relationships/hyperlink" Target="https://www.sec.gov/Archives/edgar/data/1798562/000110465922066562/tm2217188d2_ex99-1.htm" TargetMode="External"/><Relationship Id="rId316" Type="http://schemas.openxmlformats.org/officeDocument/2006/relationships/hyperlink" Target="https://www.sec.gov/Archives/edgar/data/1798562/000121390021051893/fs12021ex21-1_tmcthemet.htm" TargetMode="External"/><Relationship Id="rId317" Type="http://schemas.openxmlformats.org/officeDocument/2006/relationships/hyperlink" Target="https://www.sec.gov/ix?doc=/Archives/edgar/data/1798562/000121390021051893/fs12021_tmcthemetals.htm#T898" TargetMode="External"/><Relationship Id="rId318" Type="http://schemas.openxmlformats.org/officeDocument/2006/relationships/hyperlink" Target="https://www.sec.gov/Archives/edgar/data/1798562/000110465922045575/tmc-20211231xex24d2.htm" TargetMode="External"/><Relationship Id="rId319" Type="http://schemas.openxmlformats.org/officeDocument/2006/relationships/hyperlink" Target="https://www.sec.gov/Archives/edgar/data/1798562/000121390021033645/fs42021a2ex96-1_sustainable.htm" TargetMode="External"/><Relationship Id="rId320" Type="http://schemas.openxmlformats.org/officeDocument/2006/relationships/hyperlink" Target="https://www.sec.gov/Archives/edgar/data/1798562/000121390021033645/fs42021a2ex96-2_sustainable.htm" TargetMode="External"/><Relationship Id="rId321" Type="http://schemas.openxmlformats.org/officeDocument/2006/relationships/hyperlink" Target="https://www.sec.gov/Archives/edgar/data/1798562/000110465922045575/tmc-20211231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2022-07-01T05:34:08Z</dcterms:created>
  <dcterms:modified xsi:type="dcterms:W3CDTF">2022-07-01T05:34:08Z</dcterms:modified>
</cp:coreProperties>
</file>