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One Financial Center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3279775</wp:posOffset>
            </wp:positionH>
            <wp:positionV relativeFrom="paragraph">
              <wp:posOffset>-121920</wp:posOffset>
            </wp:positionV>
            <wp:extent cx="934085" cy="1011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934085" cy="1011555"/>
                    </a:xfrm>
                    <a:prstGeom prst="rect">
                      <a:avLst/>
                    </a:prstGeom>
                    <a:noFill/>
                  </pic:spPr>
                </pic:pic>
              </a:graphicData>
            </a:graphic>
          </wp:anchor>
        </w:drawing>
      </w:r>
    </w:p>
    <w:p>
      <w:pPr>
        <w:spacing w:after="0" w:line="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Boston, MA 02111</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617 542 6000</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mintz.com</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8"/>
          <w:szCs w:val="18"/>
          <w:color w:val="auto"/>
        </w:rPr>
        <w:t>June 30, 2022</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CONFIDENTIAL – VIA EDGAR</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Energy &amp; Transportation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tabs>
          <w:tab w:leader="none" w:pos="112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Kevin Dougherty</w:t>
      </w:r>
    </w:p>
    <w:p>
      <w:pPr>
        <w:spacing w:after="0" w:line="9" w:lineRule="exact"/>
        <w:rPr>
          <w:sz w:val="24"/>
          <w:szCs w:val="24"/>
          <w:color w:val="auto"/>
        </w:rPr>
      </w:pPr>
    </w:p>
    <w:p>
      <w:pPr>
        <w:ind w:left="1140"/>
        <w:spacing w:after="0"/>
        <w:rPr>
          <w:sz w:val="20"/>
          <w:szCs w:val="20"/>
          <w:color w:val="auto"/>
        </w:rPr>
      </w:pPr>
      <w:r>
        <w:rPr>
          <w:rFonts w:ascii="Arial" w:cs="Arial" w:eastAsia="Arial" w:hAnsi="Arial"/>
          <w:sz w:val="18"/>
          <w:szCs w:val="18"/>
          <w:color w:val="auto"/>
        </w:rPr>
        <w:t>Loan Lauren Nguyen</w:t>
      </w:r>
    </w:p>
    <w:p>
      <w:pPr>
        <w:spacing w:after="0" w:line="207" w:lineRule="exact"/>
        <w:rPr>
          <w:sz w:val="24"/>
          <w:szCs w:val="24"/>
          <w:color w:val="auto"/>
        </w:rPr>
      </w:pPr>
    </w:p>
    <w:p>
      <w:pPr>
        <w:ind w:left="1140"/>
        <w:spacing w:after="0"/>
        <w:tabs>
          <w:tab w:leader="none" w:pos="16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b w:val="1"/>
          <w:bCs w:val="1"/>
          <w:color w:val="auto"/>
        </w:rPr>
        <w:t>TMC the metals Co Inc.</w:t>
      </w:r>
    </w:p>
    <w:p>
      <w:pPr>
        <w:spacing w:after="0" w:line="27" w:lineRule="exact"/>
        <w:rPr>
          <w:sz w:val="24"/>
          <w:szCs w:val="24"/>
          <w:color w:val="auto"/>
        </w:rPr>
      </w:pPr>
    </w:p>
    <w:p>
      <w:pPr>
        <w:ind w:left="1700"/>
        <w:spacing w:after="0"/>
        <w:rPr>
          <w:sz w:val="20"/>
          <w:szCs w:val="20"/>
          <w:color w:val="auto"/>
        </w:rPr>
      </w:pPr>
      <w:r>
        <w:rPr>
          <w:rFonts w:ascii="Arial" w:cs="Arial" w:eastAsia="Arial" w:hAnsi="Arial"/>
          <w:sz w:val="18"/>
          <w:szCs w:val="18"/>
          <w:b w:val="1"/>
          <w:bCs w:val="1"/>
          <w:color w:val="auto"/>
        </w:rPr>
        <w:t>Amendment No. 1 to Post-Effective Amendment No. 1 to</w:t>
      </w:r>
    </w:p>
    <w:p>
      <w:pPr>
        <w:spacing w:after="0" w:line="9" w:lineRule="exact"/>
        <w:rPr>
          <w:sz w:val="24"/>
          <w:szCs w:val="24"/>
          <w:color w:val="auto"/>
        </w:rPr>
      </w:pPr>
    </w:p>
    <w:p>
      <w:pPr>
        <w:ind w:left="1700"/>
        <w:spacing w:after="0"/>
        <w:rPr>
          <w:sz w:val="20"/>
          <w:szCs w:val="20"/>
          <w:color w:val="auto"/>
        </w:rPr>
      </w:pPr>
      <w:r>
        <w:rPr>
          <w:rFonts w:ascii="Arial" w:cs="Arial" w:eastAsia="Arial" w:hAnsi="Arial"/>
          <w:sz w:val="18"/>
          <w:szCs w:val="18"/>
          <w:b w:val="1"/>
          <w:bCs w:val="1"/>
          <w:color w:val="auto"/>
        </w:rPr>
        <w:t>Registration Statement on Form S-1</w:t>
      </w:r>
    </w:p>
    <w:p>
      <w:pPr>
        <w:spacing w:after="0" w:line="9" w:lineRule="exact"/>
        <w:rPr>
          <w:sz w:val="24"/>
          <w:szCs w:val="24"/>
          <w:color w:val="auto"/>
        </w:rPr>
      </w:pPr>
    </w:p>
    <w:p>
      <w:pPr>
        <w:ind w:left="1700"/>
        <w:spacing w:after="0"/>
        <w:rPr>
          <w:sz w:val="20"/>
          <w:szCs w:val="20"/>
          <w:color w:val="auto"/>
        </w:rPr>
      </w:pPr>
      <w:r>
        <w:rPr>
          <w:rFonts w:ascii="Arial" w:cs="Arial" w:eastAsia="Arial" w:hAnsi="Arial"/>
          <w:sz w:val="18"/>
          <w:szCs w:val="18"/>
          <w:b w:val="1"/>
          <w:bCs w:val="1"/>
          <w:color w:val="auto"/>
        </w:rPr>
        <w:t>Filed May 31, 2022</w:t>
      </w:r>
    </w:p>
    <w:p>
      <w:pPr>
        <w:spacing w:after="0" w:line="9" w:lineRule="exact"/>
        <w:rPr>
          <w:sz w:val="24"/>
          <w:szCs w:val="24"/>
          <w:color w:val="auto"/>
        </w:rPr>
      </w:pPr>
    </w:p>
    <w:p>
      <w:pPr>
        <w:ind w:left="1700"/>
        <w:spacing w:after="0"/>
        <w:rPr>
          <w:sz w:val="20"/>
          <w:szCs w:val="20"/>
          <w:color w:val="auto"/>
        </w:rPr>
      </w:pPr>
      <w:r>
        <w:rPr>
          <w:rFonts w:ascii="Arial" w:cs="Arial" w:eastAsia="Arial" w:hAnsi="Arial"/>
          <w:sz w:val="18"/>
          <w:szCs w:val="18"/>
          <w:b w:val="1"/>
          <w:bCs w:val="1"/>
          <w:color w:val="auto"/>
        </w:rPr>
        <w:t>File No. 333-260126</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Dear Mr. Dougherty:</w:t>
      </w:r>
    </w:p>
    <w:p>
      <w:pPr>
        <w:spacing w:after="0" w:line="225" w:lineRule="exact"/>
        <w:rPr>
          <w:sz w:val="24"/>
          <w:szCs w:val="24"/>
          <w:color w:val="auto"/>
        </w:rPr>
      </w:pPr>
    </w:p>
    <w:p>
      <w:pPr>
        <w:jc w:val="both"/>
        <w:ind w:firstLine="648"/>
        <w:spacing w:after="0" w:line="257" w:lineRule="auto"/>
        <w:rPr>
          <w:sz w:val="20"/>
          <w:szCs w:val="20"/>
          <w:color w:val="auto"/>
        </w:rPr>
      </w:pPr>
      <w:r>
        <w:rPr>
          <w:rFonts w:ascii="Arial" w:cs="Arial" w:eastAsia="Arial" w:hAnsi="Arial"/>
          <w:sz w:val="18"/>
          <w:szCs w:val="18"/>
          <w:color w:val="auto"/>
        </w:rPr>
        <w:t>On behalf of TMC the metals company Inc. (the “</w:t>
      </w:r>
      <w:r>
        <w:rPr>
          <w:rFonts w:ascii="Arial" w:cs="Arial" w:eastAsia="Arial" w:hAnsi="Arial"/>
          <w:sz w:val="18"/>
          <w:szCs w:val="18"/>
          <w:u w:val="single" w:color="auto"/>
          <w:color w:val="auto"/>
        </w:rPr>
        <w:t>Compan</w:t>
      </w:r>
      <w:r>
        <w:rPr>
          <w:rFonts w:ascii="Arial" w:cs="Arial" w:eastAsia="Arial" w:hAnsi="Arial"/>
          <w:sz w:val="18"/>
          <w:szCs w:val="18"/>
          <w:color w:val="auto"/>
        </w:rPr>
        <w:t>y”), we submit this letter in response to the comment letter, dated June 21, 2022 (the “</w:t>
      </w:r>
      <w:r>
        <w:rPr>
          <w:rFonts w:ascii="Arial" w:cs="Arial" w:eastAsia="Arial" w:hAnsi="Arial"/>
          <w:sz w:val="18"/>
          <w:szCs w:val="18"/>
          <w:u w:val="single" w:color="auto"/>
          <w:color w:val="auto"/>
        </w:rPr>
        <w:t>Comment Letter</w:t>
      </w:r>
      <w:r>
        <w:rPr>
          <w:rFonts w:ascii="Arial" w:cs="Arial" w:eastAsia="Arial" w:hAnsi="Arial"/>
          <w:sz w:val="18"/>
          <w:szCs w:val="18"/>
          <w:color w:val="auto"/>
        </w:rPr>
        <w:t>”), of the staff of the Division of Corporation Finance (the “</w:t>
      </w:r>
      <w:r>
        <w:rPr>
          <w:rFonts w:ascii="Arial" w:cs="Arial" w:eastAsia="Arial" w:hAnsi="Arial"/>
          <w:sz w:val="18"/>
          <w:szCs w:val="18"/>
          <w:u w:val="single" w:color="auto"/>
          <w:color w:val="auto"/>
        </w:rPr>
        <w:t>Staff</w:t>
      </w:r>
      <w:r>
        <w:rPr>
          <w:rFonts w:ascii="Arial" w:cs="Arial" w:eastAsia="Arial" w:hAnsi="Arial"/>
          <w:sz w:val="18"/>
          <w:szCs w:val="18"/>
          <w:color w:val="auto"/>
        </w:rPr>
        <w:t>”) of the Securities and Exchange Commission (the “</w:t>
      </w:r>
      <w:r>
        <w:rPr>
          <w:rFonts w:ascii="Arial" w:cs="Arial" w:eastAsia="Arial" w:hAnsi="Arial"/>
          <w:sz w:val="18"/>
          <w:szCs w:val="18"/>
          <w:u w:val="single" w:color="auto"/>
          <w:color w:val="auto"/>
        </w:rPr>
        <w:t>Commission</w:t>
      </w:r>
      <w:r>
        <w:rPr>
          <w:rFonts w:ascii="Arial" w:cs="Arial" w:eastAsia="Arial" w:hAnsi="Arial"/>
          <w:sz w:val="18"/>
          <w:szCs w:val="18"/>
          <w:color w:val="auto"/>
        </w:rPr>
        <w:t>”) with respect to the Company’s Amendment No. 1 to Post-Effective Amendment No. 1 to Registration Statement on Form S-1 filed on May 31, 2022. Concurrently, the Company is submitting Amendment No. 2 to Post-Effective Amendment No. 1 to Registration Statement on Form S-1 (“</w:t>
      </w:r>
      <w:r>
        <w:rPr>
          <w:rFonts w:ascii="Arial" w:cs="Arial" w:eastAsia="Arial" w:hAnsi="Arial"/>
          <w:sz w:val="18"/>
          <w:szCs w:val="18"/>
          <w:u w:val="single" w:color="auto"/>
          <w:color w:val="auto"/>
        </w:rPr>
        <w:t>Amendment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No. 2</w:t>
      </w:r>
      <w:r>
        <w:rPr>
          <w:rFonts w:ascii="Arial" w:cs="Arial" w:eastAsia="Arial" w:hAnsi="Arial"/>
          <w:sz w:val="18"/>
          <w:szCs w:val="18"/>
          <w:color w:val="auto"/>
        </w:rPr>
        <w:t>”).</w:t>
      </w:r>
    </w:p>
    <w:p>
      <w:pPr>
        <w:spacing w:after="0" w:line="188"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In order to facilitate your review, we have repeated the comment in its entirety in italicized text followed by the Company’s response.</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Amendment No. 1 to Post-Effective Amendment No. 1 to Form S-1</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General</w:t>
      </w:r>
    </w:p>
    <w:p>
      <w:pPr>
        <w:spacing w:after="0" w:line="225" w:lineRule="exact"/>
        <w:rPr>
          <w:sz w:val="24"/>
          <w:szCs w:val="24"/>
          <w:color w:val="auto"/>
        </w:rPr>
      </w:pPr>
    </w:p>
    <w:p>
      <w:pPr>
        <w:jc w:val="both"/>
        <w:ind w:left="660" w:hanging="301"/>
        <w:spacing w:after="0" w:line="257" w:lineRule="auto"/>
        <w:tabs>
          <w:tab w:leader="none" w:pos="660" w:val="left"/>
        </w:tabs>
        <w:numPr>
          <w:ilvl w:val="0"/>
          <w:numId w:val="1"/>
        </w:numPr>
        <w:rPr>
          <w:rFonts w:ascii="Arial" w:cs="Arial" w:eastAsia="Arial" w:hAnsi="Arial"/>
          <w:sz w:val="18"/>
          <w:szCs w:val="18"/>
          <w:i w:val="1"/>
          <w:iCs w:val="1"/>
          <w:color w:val="auto"/>
        </w:rPr>
      </w:pPr>
      <w:r>
        <w:rPr>
          <w:rFonts w:ascii="Arial" w:cs="Arial" w:eastAsia="Arial" w:hAnsi="Arial"/>
          <w:sz w:val="18"/>
          <w:szCs w:val="18"/>
          <w:i w:val="1"/>
          <w:iCs w:val="1"/>
          <w:color w:val="auto"/>
        </w:rPr>
        <w:t>We note that your filing incorporates by reference the consent of various experts from those consents provided with the initial S-1 filing, including that of counsel and of various "qualified persons" responsible for portions of your technical reports filed as Exhibit 96.1 and 96.2 on the NORI Property and TOML Mineral Resource, respectively. Considering that this post-effective amendment will have a new date of effectiveness, please revise to provide new consents from all such experts. See Item 601(b)(23) and Item 1302(b)(4)(iv)of Regulation S-K, as well as Securities Act Section 7(a), Securities Act Rule 436 and Securities Act Rule 439.</w:t>
      </w:r>
    </w:p>
    <w:p>
      <w:pPr>
        <w:spacing w:after="0" w:line="187" w:lineRule="exact"/>
        <w:rPr>
          <w:rFonts w:ascii="Arial" w:cs="Arial" w:eastAsia="Arial" w:hAnsi="Arial"/>
          <w:sz w:val="18"/>
          <w:szCs w:val="18"/>
          <w:i w:val="1"/>
          <w:iCs w:val="1"/>
          <w:color w:val="auto"/>
        </w:rPr>
      </w:pPr>
    </w:p>
    <w:p>
      <w:pPr>
        <w:jc w:val="both"/>
        <w:ind w:left="660"/>
        <w:spacing w:after="0" w:line="263" w:lineRule="auto"/>
        <w:rPr>
          <w:rFonts w:ascii="Arial" w:cs="Arial" w:eastAsia="Arial" w:hAnsi="Arial"/>
          <w:sz w:val="18"/>
          <w:szCs w:val="18"/>
          <w:i w:val="1"/>
          <w:i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The Company respectfully acknowledges the Staff's comment and has filed with Amendment No. 2 new consents of counsel and of the various experts responsible for portions of the technical reports filed as Exhibit 96.1 and Exhibit 96.2 on the NORI Property and TOML Mineral Resource, respectively. See Exhibits 23.2 through Exhibit 23.9 to Amendment No. 2.</w:t>
      </w:r>
    </w:p>
    <w:p>
      <w:pPr>
        <w:spacing w:after="0" w:line="183" w:lineRule="exact"/>
        <w:rPr>
          <w:rFonts w:ascii="Arial" w:cs="Arial" w:eastAsia="Arial" w:hAnsi="Arial"/>
          <w:sz w:val="18"/>
          <w:szCs w:val="18"/>
          <w:i w:val="1"/>
          <w:iCs w:val="1"/>
          <w:color w:val="auto"/>
        </w:rPr>
      </w:pPr>
    </w:p>
    <w:p>
      <w:pPr>
        <w:ind w:left="5300"/>
        <w:spacing w:after="0"/>
        <w:rPr>
          <w:rFonts w:ascii="Arial" w:cs="Arial" w:eastAsia="Arial" w:hAnsi="Arial"/>
          <w:sz w:val="18"/>
          <w:szCs w:val="18"/>
          <w:i w:val="1"/>
          <w:iCs w:val="1"/>
          <w:color w:val="auto"/>
        </w:rPr>
      </w:pPr>
      <w:r>
        <w:rPr>
          <w:rFonts w:ascii="Arial" w:cs="Arial" w:eastAsia="Arial" w:hAnsi="Arial"/>
          <w:sz w:val="18"/>
          <w:szCs w:val="18"/>
          <w:color w:val="auto"/>
        </w:rPr>
        <w:t>* * *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580" w:type="dxa"/>
            <w:vAlign w:val="bottom"/>
          </w:tcPr>
          <w:p>
            <w:pPr>
              <w:ind w:left="440"/>
              <w:spacing w:after="0"/>
              <w:rPr>
                <w:sz w:val="20"/>
                <w:szCs w:val="20"/>
                <w:color w:val="auto"/>
              </w:rPr>
            </w:pPr>
            <w:r>
              <w:rPr>
                <w:rFonts w:ascii="Arial" w:cs="Arial" w:eastAsia="Arial" w:hAnsi="Arial"/>
                <w:sz w:val="18"/>
                <w:szCs w:val="18"/>
                <w:color w:val="auto"/>
              </w:rPr>
              <w:t>BOSTON</w:t>
            </w:r>
          </w:p>
        </w:tc>
        <w:tc>
          <w:tcPr>
            <w:tcW w:w="1400" w:type="dxa"/>
            <w:vAlign w:val="bottom"/>
          </w:tcPr>
          <w:p>
            <w:pPr>
              <w:ind w:left="420"/>
              <w:spacing w:after="0"/>
              <w:rPr>
                <w:sz w:val="20"/>
                <w:szCs w:val="20"/>
                <w:color w:val="auto"/>
              </w:rPr>
            </w:pPr>
            <w:r>
              <w:rPr>
                <w:rFonts w:ascii="Arial" w:cs="Arial" w:eastAsia="Arial" w:hAnsi="Arial"/>
                <w:sz w:val="18"/>
                <w:szCs w:val="18"/>
                <w:color w:val="auto"/>
              </w:rPr>
              <w:t>LONDON</w:t>
            </w:r>
          </w:p>
        </w:tc>
        <w:tc>
          <w:tcPr>
            <w:tcW w:w="1820" w:type="dxa"/>
            <w:vAlign w:val="bottom"/>
          </w:tcPr>
          <w:p>
            <w:pPr>
              <w:ind w:left="380"/>
              <w:spacing w:after="0"/>
              <w:rPr>
                <w:sz w:val="20"/>
                <w:szCs w:val="20"/>
                <w:color w:val="auto"/>
              </w:rPr>
            </w:pPr>
            <w:r>
              <w:rPr>
                <w:rFonts w:ascii="Arial" w:cs="Arial" w:eastAsia="Arial" w:hAnsi="Arial"/>
                <w:sz w:val="18"/>
                <w:szCs w:val="18"/>
                <w:color w:val="auto"/>
              </w:rPr>
              <w:t>LOS ANGELES</w:t>
            </w:r>
          </w:p>
        </w:tc>
        <w:tc>
          <w:tcPr>
            <w:tcW w:w="1520" w:type="dxa"/>
            <w:vAlign w:val="bottom"/>
          </w:tcPr>
          <w:p>
            <w:pPr>
              <w:ind w:left="260"/>
              <w:spacing w:after="0"/>
              <w:rPr>
                <w:sz w:val="20"/>
                <w:szCs w:val="20"/>
                <w:color w:val="auto"/>
              </w:rPr>
            </w:pPr>
            <w:r>
              <w:rPr>
                <w:rFonts w:ascii="Arial" w:cs="Arial" w:eastAsia="Arial" w:hAnsi="Arial"/>
                <w:sz w:val="18"/>
                <w:szCs w:val="18"/>
                <w:color w:val="auto"/>
              </w:rPr>
              <w:t>NEW YORK</w:t>
            </w:r>
          </w:p>
        </w:tc>
        <w:tc>
          <w:tcPr>
            <w:tcW w:w="1500" w:type="dxa"/>
            <w:vAlign w:val="bottom"/>
          </w:tcPr>
          <w:p>
            <w:pPr>
              <w:ind w:left="320"/>
              <w:spacing w:after="0"/>
              <w:rPr>
                <w:sz w:val="20"/>
                <w:szCs w:val="20"/>
                <w:color w:val="auto"/>
              </w:rPr>
            </w:pPr>
            <w:r>
              <w:rPr>
                <w:rFonts w:ascii="Arial" w:cs="Arial" w:eastAsia="Arial" w:hAnsi="Arial"/>
                <w:sz w:val="18"/>
                <w:szCs w:val="18"/>
                <w:color w:val="auto"/>
              </w:rPr>
              <w:t>SAN DIEGO</w:t>
            </w:r>
          </w:p>
        </w:tc>
        <w:tc>
          <w:tcPr>
            <w:tcW w:w="3420" w:type="dxa"/>
            <w:vAlign w:val="bottom"/>
          </w:tcPr>
          <w:p>
            <w:pPr>
              <w:ind w:left="200"/>
              <w:spacing w:after="0"/>
              <w:rPr>
                <w:sz w:val="20"/>
                <w:szCs w:val="20"/>
                <w:color w:val="auto"/>
              </w:rPr>
            </w:pPr>
            <w:r>
              <w:rPr>
                <w:rFonts w:ascii="Arial" w:cs="Arial" w:eastAsia="Arial" w:hAnsi="Arial"/>
                <w:sz w:val="18"/>
                <w:szCs w:val="18"/>
                <w:color w:val="auto"/>
                <w:w w:val="96"/>
              </w:rPr>
              <w:t>SAN FRANCISCOWASHINGTON</w:t>
            </w:r>
          </w:p>
        </w:tc>
      </w:tr>
      <w:tr>
        <w:trPr>
          <w:trHeight w:val="230"/>
        </w:trPr>
        <w:tc>
          <w:tcPr>
            <w:tcW w:w="158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8260" w:type="dxa"/>
            <w:vAlign w:val="bottom"/>
            <w:gridSpan w:val="4"/>
          </w:tcPr>
          <w:p>
            <w:pPr>
              <w:ind w:left="200"/>
              <w:spacing w:after="0"/>
              <w:rPr>
                <w:sz w:val="20"/>
                <w:szCs w:val="20"/>
                <w:color w:val="auto"/>
              </w:rPr>
            </w:pPr>
            <w:r>
              <w:rPr>
                <w:rFonts w:ascii="Arial" w:cs="Arial" w:eastAsia="Arial" w:hAnsi="Arial"/>
                <w:sz w:val="18"/>
                <w:szCs w:val="18"/>
                <w:color w:val="auto"/>
              </w:rPr>
              <w:t>MINTZ, LEVIN, COHN, FERRIS, GLOVSKY AND POPEO, P.C.</w:t>
            </w:r>
          </w:p>
        </w:tc>
      </w:tr>
      <w:tr>
        <w:trPr>
          <w:trHeight w:val="216"/>
        </w:trPr>
        <w:tc>
          <w:tcPr>
            <w:tcW w:w="15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3420" w:type="dxa"/>
            <w:vAlign w:val="bottom"/>
            <w:tcBorders>
              <w:bottom w:val="single" w:sz="8" w:color="auto"/>
            </w:tcBorders>
          </w:tcPr>
          <w:p>
            <w:pPr>
              <w:spacing w:after="0"/>
              <w:rPr>
                <w:sz w:val="18"/>
                <w:szCs w:val="18"/>
                <w:color w:val="auto"/>
              </w:rPr>
            </w:pPr>
          </w:p>
        </w:tc>
      </w:tr>
      <w:tr>
        <w:trPr>
          <w:trHeight w:val="695"/>
        </w:trPr>
        <w:tc>
          <w:tcPr>
            <w:tcW w:w="15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476"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MINTZ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6648450</wp:posOffset>
            </wp:positionH>
            <wp:positionV relativeFrom="paragraph">
              <wp:posOffset>-119380</wp:posOffset>
            </wp:positionV>
            <wp:extent cx="462915" cy="5314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62915" cy="53149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June 30, 2022</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8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you have any questions or comments in connection with this letter or Amendment No. 2, please contact the undersigned by phone at (617) 348-1715 or via e-mail at Dtkajunski@mintz.com.</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Daniel T. Kajunski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Daniel T. Kajunski</w:t>
      </w:r>
    </w:p>
    <w:p>
      <w:pPr>
        <w:spacing w:after="0" w:line="224" w:lineRule="exact"/>
        <w:rPr>
          <w:sz w:val="20"/>
          <w:szCs w:val="20"/>
          <w:color w:val="auto"/>
        </w:rPr>
      </w:pPr>
    </w:p>
    <w:p>
      <w:pPr>
        <w:ind w:left="660" w:hanging="652"/>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Craig Shesky, Chief Financial Officer, TMC the metals company Inc.</w:t>
      </w:r>
    </w:p>
    <w:p>
      <w:pPr>
        <w:spacing w:after="0" w:line="23" w:lineRule="exact"/>
        <w:rPr>
          <w:rFonts w:ascii="Arial" w:cs="Arial" w:eastAsia="Arial" w:hAnsi="Arial"/>
          <w:sz w:val="18"/>
          <w:szCs w:val="18"/>
          <w:color w:val="auto"/>
        </w:rPr>
      </w:pPr>
    </w:p>
    <w:p>
      <w:pPr>
        <w:ind w:left="680"/>
        <w:spacing w:after="0"/>
        <w:rPr>
          <w:rFonts w:ascii="Arial" w:cs="Arial" w:eastAsia="Arial" w:hAnsi="Arial"/>
          <w:sz w:val="18"/>
          <w:szCs w:val="18"/>
          <w:color w:val="auto"/>
        </w:rPr>
      </w:pPr>
      <w:r>
        <w:rPr>
          <w:rFonts w:ascii="Arial" w:cs="Arial" w:eastAsia="Arial" w:hAnsi="Arial"/>
          <w:sz w:val="18"/>
          <w:szCs w:val="18"/>
          <w:color w:val="auto"/>
        </w:rPr>
        <w:t>Michael L. Fantozzi, Esq., Mintz, Levin, Cohn, Ferris, Glovsky and Popeo,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lvl w:ilvl="1">
      <w:lvlJc w:val="left"/>
      <w:lvlText w:val="*"/>
      <w:numFmt w:val="bullet"/>
      <w:start w:val="1"/>
    </w:lvl>
  </w:abstractNum>
  <w:abstractNum w:abstractNumId="1">
    <w:nsid w:val="66334873"/>
    <w:multiLevelType w:val="hybridMultilevel"/>
    <w:lvl w:ilvl="0">
      <w:lvlJc w:val="left"/>
      <w:lvlText w:val="%1:"/>
      <w:numFmt w:val="lowerLetter"/>
      <w:start w:val="29"/>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2022-11-07T00:40:18Z</dcterms:created>
  <dcterms:modified xsi:type="dcterms:W3CDTF">2022-11-07T00:40:18Z</dcterms:modified>
</cp:coreProperties>
</file>