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Hall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94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68,027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104,059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 shall vest on the date of the Issuer's 2023 annual meeting of shareholders, subject to the Reporting Person's continued service through the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07/18/2022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417"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2022-07-18T16:27:17Z</dcterms:created>
  <dcterms:modified xsi:type="dcterms:W3CDTF">2022-07-18T16:27:17Z</dcterms:modified>
</cp:coreProperties>
</file>