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McAllister Kathleen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94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68,027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132,543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 shall vest on the date of the Issuer's 2023 annual meeting of shareholders, subject to the Reporting Person's continued service through the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Nadia Do Canto, Attorney- </w:t>
      </w:r>
      <w:r>
        <w:rPr>
          <w:rFonts w:ascii="Times New Roman" w:cs="Times New Roman" w:eastAsia="Times New Roman" w:hAnsi="Times New Roman"/>
          <w:sz w:val="33"/>
          <w:szCs w:val="33"/>
          <w:color w:val="0000FF"/>
          <w:vertAlign w:val="subscript"/>
        </w:rPr>
        <w:t>07/18/2022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4884"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2022-07-18T16:31:15Z</dcterms:created>
  <dcterms:modified xsi:type="dcterms:W3CDTF">2022-07-18T16:31:15Z</dcterms:modified>
</cp:coreProperties>
</file>