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142875</wp:posOffset>
            </wp:positionV>
            <wp:extent cx="190309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no. 1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207" w:lineRule="exact"/>
        <w:rPr>
          <w:sz w:val="24"/>
          <w:szCs w:val="24"/>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August 15, 2022.</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August 12, 2022, the closing price of our Common Shares was $1.00 and the closing price for our Public Warrants was $0.13.</w:t>
      </w: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2022, TMC the metals company Inc. (the “Company”) entered into three securities purchase agreements for the private placement of an aggregate of 37,978,680 of the Company's common shares ("Common Shares") (the "Private Placement"). The Company entered into a securities purchase agreement (the “PIPE Purchase Agreement”) with the purchasers named therein (the “PIPE Purchasers”)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(the “Barron Purchase Agreement”), and a separate securities purchase agreement with ERAS Capital LLC, the family fund of the Company's director, Andrei Karkar, for the issuance and sale of 6,250,000 common shares at a purchase price of $0.80 per share (the “ERAS Purchase Agreement”, together with the PIPE Purchase Agreement and the Barron Purchase Agreement, the “Purchase Agreements”). The Common Shares issuable in the Private Placement pursuant to the Purchase Agreements are referred to herein as the “Shares” and the PIPE Purchasers, together with Mr. Barron and ERAS Capital LLC are referred to herein as the “Purchasers.” The Company expects to receive aggregate gross proceeds of approximately $30.4 million this quarter from the Private Placement and net proceeds of approximately $30 million, after deducting placement agent fees and offering expenses.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intends to use the net proceeds from the Private Placement for working capital and general corporate purposes.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the Purchase Agreements, the Company also agreed to file a registration statement with the Securities and Exchange Commission (the “SEC”) on or before September 16, 2022 (subject to certain exceptions) for purposes of registering the resale of the Shares, to use its commercially reasonable efforts to have such registration statement declared effective within the time period set forth in the Purchase Agreements, and to keep such registration statement effective for up to three years.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Purchase Agreements contain customary closing conditions, representations, warranties and agreements by the Company, indemnification obligations of the Company and the Purchasers, including for liabilities under the Securities Act of 1933, as amended (the “Securities Act”), and other obligations of the parties. The representations, warranties and covenants contained in the Purchase Agreements were made only for purposes of such Purchase Agreements and are made as of specific dates; are solely for the benefit of the parties (except as specifically set forth therein); may be subject to qualifications and limitations agreed upon by the parties in connection with negotiating the terms of the Purchase Agreements,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Purchasers represented that they were accredited investors within the meaning of Rule 501(a) of Regulation D, and were acquiring the securities for investment only and not with a view towards, or for resale in connection with, the public sale or distribution thereof. The securities were offered without any general solicitation by the Company or its representatives. The securities sold and issued in the Private Placement will not be registered under the Securities Act or any state securities laws and may not be offered or sold in the United States absent registration with the SEC or an applicable exemption from the registration requirements.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Agreements does not purport to be complete and is qualified in its entirety by reference to the form of the PIPE Purchase Agreement, the Barron Purchase Agreement and the ERAS Purchase Agreement, filed as Exhibits 10.1, 10.2 and 10.3, respectively,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disclosures set forth in Item 1.01 above are incorporated in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August 12, 2022, by and among the Company and the Purchasers named therein.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80" w:type="dxa"/>
            <w:vAlign w:val="bottom"/>
          </w:tcPr>
          <w:p>
            <w:pPr>
              <w:spacing w:after="0"/>
              <w:rPr>
                <w:sz w:val="24"/>
                <w:szCs w:val="24"/>
                <w:color w:val="auto"/>
              </w:rPr>
            </w:pPr>
          </w:p>
        </w:tc>
        <w:tc>
          <w:tcPr>
            <w:tcW w:w="9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Securities Purchase Agreement, dated August 12, 2022, by and among the Company and Gerard Barron.</w:t>
            </w:r>
          </w:p>
        </w:tc>
        <w:tc>
          <w:tcPr>
            <w:tcW w:w="7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980" w:type="dxa"/>
            <w:vAlign w:val="bottom"/>
          </w:tcPr>
          <w:p>
            <w:pPr>
              <w:spacing w:after="0"/>
              <w:rPr>
                <w:sz w:val="24"/>
                <w:szCs w:val="24"/>
                <w:color w:val="auto"/>
              </w:rPr>
            </w:pPr>
          </w:p>
        </w:tc>
        <w:tc>
          <w:tcPr>
            <w:tcW w:w="7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August 12, 2022, by and among the Company and ERAS Capital LLC.</w:t>
            </w:r>
          </w:p>
        </w:tc>
        <w:tc>
          <w:tcPr>
            <w:tcW w:w="2040" w:type="dxa"/>
            <w:vAlign w:val="bottom"/>
            <w:gridSpan w:val="2"/>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are forward-looking statements. These statements include but are not limited to statements regarding the completion of the Private Placement and the receipt and anticipated use of proceeds therefrom, and related to the anticipated filing of a registration statement to cover resales of the Shares. These statements are only predictions based on current information and expectations and involve a number of risks and uncertainties. Actual events or results may differ materially from those projected in any of such statements due to various factors, including risks and uncertainties associated with market conditions and the satisfaction of customary closing conditions related to the Private Placement. For a discussion of these and other factors, please refer to the Company’s annual report on Form 10-K for the year ended December 31, 2021 as well as the Company’s subsequent filings with the SEC. You are cautioned not to place undue reliance on these forward-looking statements, which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65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84"/>
        </w:trPr>
        <w:tc>
          <w:tcPr>
            <w:tcW w:w="3640" w:type="dxa"/>
            <w:vAlign w:val="bottom"/>
          </w:tcPr>
          <w:p>
            <w:pPr>
              <w:spacing w:after="0"/>
              <w:rPr>
                <w:sz w:val="16"/>
                <w:szCs w:val="16"/>
                <w:color w:val="auto"/>
              </w:rPr>
            </w:pPr>
          </w:p>
        </w:tc>
        <w:tc>
          <w:tcPr>
            <w:tcW w:w="24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31,625,000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$0.80 per share, for aggregate gross proceeds to the Company of approximately $25,300,000.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700"/>
        <w:spacing w:after="0"/>
        <w:tabs>
          <w:tab w:leader="none" w:pos="110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695"/>
        <w:spacing w:after="0" w:line="262" w:lineRule="auto"/>
        <w:tabs>
          <w:tab w:leader="none" w:pos="10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695"/>
        <w:spacing w:after="0" w:line="262" w:lineRule="auto"/>
        <w:tabs>
          <w:tab w:leader="none" w:pos="11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firstLine="695"/>
        <w:spacing w:after="0" w:line="286" w:lineRule="auto"/>
        <w:tabs>
          <w:tab w:leader="none" w:pos="11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695"/>
        <w:spacing w:after="0" w:line="257" w:lineRule="auto"/>
        <w:tabs>
          <w:tab w:leader="none" w:pos="11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(a) is, or could reasonably be expected to be, materially adverse to the business, financial condition, prospects, assets, liabilities or results of operations of the Company and its subsidiaries considered as one enterprise, or (b) materially impairs the ability of the Company to comply, or prevents the Company from complying, with its material obligations with respect to the Closing or would reasonably be expected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6"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695"/>
        <w:spacing w:after="0" w:line="286" w:lineRule="auto"/>
        <w:tabs>
          <w:tab w:leader="none" w:pos="11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040" w:hanging="34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040" w:hanging="34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 Agent.</w:t>
      </w:r>
    </w:p>
    <w:p>
      <w:pPr>
        <w:spacing w:after="0" w:line="225" w:lineRule="exact"/>
        <w:rPr>
          <w:rFonts w:ascii="Times New Roman" w:cs="Times New Roman" w:eastAsia="Times New Roman" w:hAnsi="Times New Roman"/>
          <w:sz w:val="18"/>
          <w:szCs w:val="18"/>
          <w:color w:val="auto"/>
        </w:rPr>
      </w:pPr>
    </w:p>
    <w:p>
      <w:pPr>
        <w:jc w:val="both"/>
        <w:ind w:firstLine="695"/>
        <w:spacing w:after="0" w:line="268" w:lineRule="auto"/>
        <w:tabs>
          <w:tab w:leader="none" w:pos="10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080" w:hanging="385"/>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August 12,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95"/>
        <w:spacing w:after="0" w:line="266" w:lineRule="auto"/>
        <w:tabs>
          <w:tab w:leader="none" w:pos="12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695"/>
        <w:spacing w:after="0" w:line="282" w:lineRule="auto"/>
        <w:tabs>
          <w:tab w:leader="none" w:pos="10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1"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if they had been made on and as of said date.</w:t>
      </w:r>
    </w:p>
    <w:p>
      <w:pPr>
        <w:spacing w:after="0" w:line="179" w:lineRule="exact"/>
        <w:rPr>
          <w:rFonts w:ascii="Times New Roman" w:cs="Times New Roman" w:eastAsia="Times New Roman" w:hAnsi="Times New Roman"/>
          <w:sz w:val="18"/>
          <w:szCs w:val="18"/>
          <w:color w:val="auto"/>
        </w:rPr>
      </w:pPr>
    </w:p>
    <w:p>
      <w:pPr>
        <w:ind w:left="1920" w:right="20" w:hanging="454"/>
        <w:spacing w:after="0" w:line="261"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ind w:left="1920" w:hanging="454"/>
        <w:spacing w:after="0"/>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06" w:lineRule="exact"/>
        <w:rPr>
          <w:rFonts w:ascii="Times New Roman" w:cs="Times New Roman" w:eastAsia="Times New Roman" w:hAnsi="Times New Roman"/>
          <w:sz w:val="18"/>
          <w:szCs w:val="18"/>
          <w:color w:val="auto"/>
        </w:rPr>
      </w:pPr>
    </w:p>
    <w:p>
      <w:pPr>
        <w:ind w:firstLine="695"/>
        <w:spacing w:after="0" w:line="282" w:lineRule="auto"/>
        <w:tabs>
          <w:tab w:leader="none" w:pos="10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5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695"/>
        <w:spacing w:after="0" w:line="268" w:lineRule="auto"/>
        <w:tabs>
          <w:tab w:leader="none" w:pos="11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95"/>
        <w:spacing w:after="0" w:line="257" w:lineRule="auto"/>
        <w:tabs>
          <w:tab w:leader="none" w:pos="11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695"/>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At the Closing, the Purchasers and the Placement Agent shall have received a certificate signed by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certifying the resolutions of the Board of Directors of the Company or a duly authorized committee thereof approving this Agreement and all of the transactions contemplated hereunder.</w:t>
      </w:r>
    </w:p>
    <w:p>
      <w:pPr>
        <w:spacing w:after="0" w:line="170" w:lineRule="exact"/>
        <w:rPr>
          <w:rFonts w:ascii="Times New Roman" w:cs="Times New Roman" w:eastAsia="Times New Roman" w:hAnsi="Times New Roman"/>
          <w:sz w:val="18"/>
          <w:szCs w:val="18"/>
          <w:color w:val="auto"/>
        </w:rPr>
      </w:pPr>
    </w:p>
    <w:p>
      <w:pPr>
        <w:ind w:firstLine="695"/>
        <w:spacing w:after="0" w:line="286" w:lineRule="auto"/>
        <w:tabs>
          <w:tab w:leader="none" w:pos="11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Closing, the Purchasers and the Placement Agent shall have received a certificate signed by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695"/>
        <w:spacing w:after="0" w:line="268" w:lineRule="auto"/>
        <w:tabs>
          <w:tab w:leader="none" w:pos="11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At the Closing, the Purchasers shall have received opinions of Fasken Martineau DuMoulin LLP, Canadian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Mintz, U.S. counsel for the Company, each dated as of the Closing Date,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follows: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695"/>
        <w:spacing w:after="0" w:line="266" w:lineRule="auto"/>
        <w:tabs>
          <w:tab w:leader="none" w:pos="10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695"/>
        <w:spacing w:after="0" w:line="253" w:lineRule="auto"/>
        <w:tabs>
          <w:tab w:leader="none" w:pos="11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95"/>
        <w:spacing w:after="0" w:line="254" w:lineRule="auto"/>
        <w:tabs>
          <w:tab w:leader="none" w:pos="11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8" w:firstLine="695"/>
        <w:spacing w:after="0" w:line="259" w:lineRule="auto"/>
        <w:tabs>
          <w:tab w:leader="none" w:pos="10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695"/>
        <w:spacing w:after="0" w:line="261" w:lineRule="auto"/>
        <w:tabs>
          <w:tab w:leader="none" w:pos="11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695"/>
        <w:spacing w:after="0" w:line="258" w:lineRule="auto"/>
        <w:tabs>
          <w:tab w:leader="none" w:pos="106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695"/>
        <w:spacing w:after="0" w:line="252" w:lineRule="auto"/>
        <w:tabs>
          <w:tab w:leader="none" w:pos="113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2" w:name="page23"/>
    <w:bookmarkEnd w:id="22"/>
    <w:p>
      <w:pPr>
        <w:jc w:val="both"/>
        <w:ind w:firstLine="695"/>
        <w:spacing w:after="0" w:line="266" w:lineRule="auto"/>
        <w:tabs>
          <w:tab w:leader="none" w:pos="9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695"/>
        <w:spacing w:after="0" w:line="261" w:lineRule="auto"/>
        <w:tabs>
          <w:tab w:leader="none" w:pos="10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695"/>
        <w:spacing w:after="0" w:line="261" w:lineRule="auto"/>
        <w:tabs>
          <w:tab w:leader="none" w:pos="10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695"/>
        <w:spacing w:after="0" w:line="261" w:lineRule="auto"/>
        <w:tabs>
          <w:tab w:leader="none" w:pos="10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95" w:firstLine="695"/>
        <w:spacing w:after="0" w:line="251" w:lineRule="auto"/>
        <w:tabs>
          <w:tab w:leader="none" w:pos="4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695" w:firstLine="695"/>
        <w:spacing w:after="0" w:line="252" w:lineRule="auto"/>
        <w:tabs>
          <w:tab w:leader="none" w:pos="4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423545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5"/>
          </w:cols>
          <w:pgMar w:left="1015" w:top="904" w:right="339" w:bottom="1440" w:gutter="0" w:footer="0" w:header="0"/>
        </w:sectPr>
      </w:pPr>
    </w:p>
    <w:bookmarkStart w:id="24" w:name="page25"/>
    <w:bookmarkEnd w:id="24"/>
    <w:p>
      <w:pPr>
        <w:jc w:val="both"/>
        <w:ind w:left="-695" w:firstLine="695"/>
        <w:spacing w:after="0" w:line="25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695" w:firstLine="695"/>
        <w:spacing w:after="0" w:line="251" w:lineRule="auto"/>
        <w:tabs>
          <w:tab w:leader="none" w:pos="4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432435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5"/>
          </w:cols>
          <w:pgMar w:left="1015" w:top="904" w:right="339" w:bottom="1440" w:gutter="0" w:footer="0" w:header="0"/>
        </w:sectPr>
      </w:pPr>
    </w:p>
    <w:bookmarkStart w:id="25" w:name="page26"/>
    <w:bookmarkEnd w:id="25"/>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1100" w:hanging="379"/>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95"/>
        <w:spacing w:after="0" w:line="282" w:lineRule="auto"/>
        <w:tabs>
          <w:tab w:leader="none" w:pos="11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30" w:name="page31"/>
    <w:bookmarkEnd w:id="30"/>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180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 For the purposes of this Agreement the terms defined in this Agreement include the plural as well as the singular.</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103,680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$0.9645 per share, for aggregate gross proceeds to the Company of $99,999.36.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980"/>
        <w:spacing w:after="0" w:line="262" w:lineRule="auto"/>
        <w:tabs>
          <w:tab w:leader="none" w:pos="14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980"/>
        <w:spacing w:after="0" w:line="262" w:lineRule="auto"/>
        <w:tabs>
          <w:tab w:leader="none" w:pos="14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ind w:firstLine="980"/>
        <w:spacing w:after="0" w:line="286" w:lineRule="auto"/>
        <w:tabs>
          <w:tab w:leader="none" w:pos="1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980"/>
        <w:spacing w:after="0" w:line="257" w:lineRule="auto"/>
        <w:tabs>
          <w:tab w:leader="none" w:pos="14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(a) is, or could reasonably be expected to be, materially adverse to the business, financial condition, prospects, assets, liabilities or results of operations of the Company and its subsidiaries considered as one enterprise, or (b) materially impairs the ability of the Company to comply, or prevents the Company from complying, with its material obligations with respect to the Closing or would reasonably be expected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6"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980"/>
        <w:spacing w:after="0" w:line="286" w:lineRule="auto"/>
        <w:tabs>
          <w:tab w:leader="none" w:pos="13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720" w:hanging="740"/>
        <w:spacing w:after="0"/>
        <w:tabs>
          <w:tab w:leader="none" w:pos="1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680" w:hanging="700"/>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August 12,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980"/>
        <w:spacing w:after="0" w:line="266" w:lineRule="auto"/>
        <w:tabs>
          <w:tab w:leader="none" w:pos="14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1" w:lineRule="auto"/>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if they had been made on and as of said date.</w:t>
      </w:r>
    </w:p>
    <w:p>
      <w:pPr>
        <w:spacing w:after="0" w:line="179" w:lineRule="exact"/>
        <w:rPr>
          <w:rFonts w:ascii="Times New Roman" w:cs="Times New Roman" w:eastAsia="Times New Roman" w:hAnsi="Times New Roman"/>
          <w:sz w:val="18"/>
          <w:szCs w:val="18"/>
          <w:color w:val="auto"/>
        </w:rPr>
      </w:pPr>
    </w:p>
    <w:p>
      <w:pPr>
        <w:ind w:left="1920" w:right="20" w:hanging="454"/>
        <w:spacing w:after="0" w:line="261" w:lineRule="auto"/>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ind w:left="1920" w:hanging="454"/>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06" w:lineRule="exact"/>
        <w:rPr>
          <w:rFonts w:ascii="Times New Roman" w:cs="Times New Roman" w:eastAsia="Times New Roman" w:hAnsi="Times New Roman"/>
          <w:sz w:val="18"/>
          <w:szCs w:val="18"/>
          <w:color w:val="auto"/>
        </w:rPr>
      </w:pPr>
    </w:p>
    <w:p>
      <w:pPr>
        <w:ind w:firstLine="980"/>
        <w:spacing w:after="0" w:line="282" w:lineRule="auto"/>
        <w:tabs>
          <w:tab w:leader="none" w:pos="13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5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980"/>
        <w:spacing w:after="0" w:line="268" w:lineRule="auto"/>
        <w:tabs>
          <w:tab w:leader="none" w:pos="13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980"/>
        <w:spacing w:after="0" w:line="257" w:lineRule="auto"/>
        <w:tabs>
          <w:tab w:leader="none" w:pos="13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980"/>
        <w:spacing w:after="0" w:line="268" w:lineRule="auto"/>
        <w:tabs>
          <w:tab w:leader="none" w:pos="14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At the Closing, the Purchasers and the Placement Agent shall have received a certificate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the Company, certifying the resolutions of the Board of Directors of the Company or a duly authorized committee thereof approving this Agreement and all of the transactions contemplated hereunder.</w:t>
      </w:r>
    </w:p>
    <w:p>
      <w:pPr>
        <w:spacing w:after="0" w:line="170" w:lineRule="exact"/>
        <w:rPr>
          <w:rFonts w:ascii="Times New Roman" w:cs="Times New Roman" w:eastAsia="Times New Roman" w:hAnsi="Times New Roman"/>
          <w:sz w:val="18"/>
          <w:szCs w:val="18"/>
          <w:color w:val="auto"/>
        </w:rPr>
      </w:pPr>
    </w:p>
    <w:p>
      <w:pPr>
        <w:ind w:right="20" w:firstLine="980"/>
        <w:spacing w:after="0" w:line="286" w:lineRule="auto"/>
        <w:tabs>
          <w:tab w:leader="none" w:pos="14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Closing, the Purchasers and the Placement Agent shall have received a certificate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980"/>
        <w:spacing w:after="0" w:line="268" w:lineRule="auto"/>
        <w:tabs>
          <w:tab w:leader="none" w:pos="13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At the Closing, the Purchasers shall have received opinions of Fasken Martineau DuMoulin LLP, Canadian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Mintz, U.S. counsel for the Company, each dated as of the Closing Date,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follows: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980"/>
        <w:spacing w:after="0" w:line="266" w:lineRule="auto"/>
        <w:tabs>
          <w:tab w:leader="none" w:pos="14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0"/>
        <w:spacing w:after="0" w:line="254" w:lineRule="auto"/>
        <w:tabs>
          <w:tab w:leader="none" w:pos="13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left="-8" w:firstLine="980"/>
        <w:spacing w:after="0" w:line="259" w:lineRule="auto"/>
        <w:tabs>
          <w:tab w:leader="none" w:pos="13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61" w:lineRule="auto"/>
        <w:tabs>
          <w:tab w:leader="none" w:pos="13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4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52" w:lineRule="auto"/>
        <w:tabs>
          <w:tab w:leader="none" w:pos="136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6" w:name="page47"/>
    <w:bookmarkEnd w:id="46"/>
    <w:p>
      <w:pPr>
        <w:jc w:val="both"/>
        <w:ind w:firstLine="980"/>
        <w:spacing w:after="0" w:line="266"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4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4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3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980" w:firstLine="980"/>
        <w:spacing w:after="0" w:line="251" w:lineRule="auto"/>
        <w:tabs>
          <w:tab w:leader="none" w:pos="3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4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423545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8" w:name="page49"/>
    <w:bookmarkEnd w:id="48"/>
    <w:p>
      <w:pPr>
        <w:jc w:val="both"/>
        <w:ind w:left="-980" w:firstLine="980"/>
        <w:spacing w:after="0" w:line="251"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980" w:firstLine="980"/>
        <w:spacing w:after="0" w:line="251" w:lineRule="auto"/>
        <w:tabs>
          <w:tab w:leader="none" w:pos="3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432435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9" w:name="page50"/>
    <w:bookmarkEnd w:id="49"/>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the Company,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firstLine="980"/>
        <w:spacing w:after="0" w:line="282" w:lineRule="auto"/>
        <w:tabs>
          <w:tab w:leader="none" w:pos="13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54" w:name="page55"/>
    <w:bookmarkEnd w:id="54"/>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GERARD BARRON</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r>
    </w:tbl>
    <w:p>
      <w:pPr>
        <w:spacing w:after="0" w:line="1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 For purposes of this Agreement the terms defined in this Agreement include the plural as well as the singular.</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6,250,000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$0.80 per share, for aggregate gross proceeds to the Company of $5,000,000.</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980"/>
        <w:spacing w:after="0" w:line="262" w:lineRule="auto"/>
        <w:tabs>
          <w:tab w:leader="none" w:pos="14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980"/>
        <w:spacing w:after="0" w:line="262" w:lineRule="auto"/>
        <w:tabs>
          <w:tab w:leader="none" w:pos="14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ind w:firstLine="980"/>
        <w:spacing w:after="0" w:line="286" w:lineRule="auto"/>
        <w:tabs>
          <w:tab w:leader="none" w:pos="1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980"/>
        <w:spacing w:after="0" w:line="259" w:lineRule="auto"/>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is, or could reasonably be expected to be, materially adverse to the business, financial condition, prospects, assets, liabilities or results of operations of the Company and its subsidiaries considered as one enterprise;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3"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980"/>
        <w:spacing w:after="0" w:line="286" w:lineRule="auto"/>
        <w:tabs>
          <w:tab w:leader="none" w:pos="13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720" w:hanging="740"/>
        <w:spacing w:after="0"/>
        <w:tabs>
          <w:tab w:leader="none" w:pos="1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680" w:hanging="700"/>
        <w:spacing w:after="0"/>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or before September 30,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 or the date hereof, as applicable.</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980"/>
        <w:spacing w:after="0" w:line="266" w:lineRule="auto"/>
        <w:tabs>
          <w:tab w:leader="none" w:pos="14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As of the date hereof,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as of the date of this Agreement,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of the date of this Agreement.</w:t>
      </w:r>
    </w:p>
    <w:p>
      <w:pPr>
        <w:spacing w:after="0" w:line="175"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date of this Agreement, or any breach or failure to do so has been cured as of the date of this Agreement.</w:t>
      </w:r>
    </w:p>
    <w:p>
      <w:pPr>
        <w:spacing w:after="0" w:line="176"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upon delivery of the closing deliverables set forth in </w:t>
      </w:r>
      <w:r>
        <w:rPr>
          <w:rFonts w:ascii="Times New Roman" w:cs="Times New Roman" w:eastAsia="Times New Roman" w:hAnsi="Times New Roman"/>
          <w:sz w:val="18"/>
          <w:szCs w:val="18"/>
          <w:u w:val="single" w:color="auto"/>
          <w:color w:val="auto"/>
        </w:rPr>
        <w:t>Sections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the Purchaser shall be irrevocably bound to purchase the Shares, subject only to the Company’s issuance of the Shares under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firstLine="980"/>
        <w:spacing w:after="0" w:line="282" w:lineRule="auto"/>
        <w:tabs>
          <w:tab w:leader="none" w:pos="13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980"/>
        <w:spacing w:after="0" w:line="268" w:lineRule="auto"/>
        <w:tabs>
          <w:tab w:leader="none" w:pos="13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170" w:lineRule="exact"/>
        <w:rPr>
          <w:rFonts w:ascii="Times New Roman" w:cs="Times New Roman" w:eastAsia="Times New Roman" w:hAnsi="Times New Roman"/>
          <w:sz w:val="18"/>
          <w:szCs w:val="18"/>
          <w:color w:val="auto"/>
        </w:rPr>
      </w:pPr>
    </w:p>
    <w:p>
      <w:pPr>
        <w:jc w:val="both"/>
        <w:ind w:firstLine="980"/>
        <w:spacing w:after="0" w:line="257" w:lineRule="auto"/>
        <w:tabs>
          <w:tab w:leader="none" w:pos="13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On the date of this Agreement, the Purchasers and the Placement Agent shall have received a certificate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Secretary of the Company, certifying the resolutions of the Board of Directors of the Company or a duly authorized committee thereof approving this Agreement and all of the transactions contemplated hereunder, all as in effect on the date of this Agreement.</w:t>
      </w:r>
    </w:p>
    <w:p>
      <w:pPr>
        <w:spacing w:after="0" w:line="170" w:lineRule="exact"/>
        <w:rPr>
          <w:rFonts w:ascii="Times New Roman" w:cs="Times New Roman" w:eastAsia="Times New Roman" w:hAnsi="Times New Roman"/>
          <w:sz w:val="18"/>
          <w:szCs w:val="18"/>
          <w:color w:val="auto"/>
        </w:rPr>
      </w:pPr>
    </w:p>
    <w:p>
      <w:pPr>
        <w:ind w:right="20" w:firstLine="980"/>
        <w:spacing w:after="0" w:line="286" w:lineRule="auto"/>
        <w:tabs>
          <w:tab w:leader="none" w:pos="13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On the date of this Agreement, the Purchasers and the Placement Agent shall have received a certificate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President 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980"/>
        <w:spacing w:after="0" w:line="268" w:lineRule="auto"/>
        <w:tabs>
          <w:tab w:leader="none" w:pos="19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On the date of this Agreement, the Purchasers shall have received opinions of Fasken Martineau DuMoulin LLP,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counsel for the Company, and Mintz, U.S. counsel for the Company, each dated as of the date of this Agreement,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of the date of this Agreement (unless specified otherwise herein), as follows: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980"/>
        <w:spacing w:after="0" w:line="266" w:lineRule="auto"/>
        <w:tabs>
          <w:tab w:leader="none" w:pos="14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0"/>
        <w:spacing w:after="0" w:line="254" w:lineRule="auto"/>
        <w:tabs>
          <w:tab w:leader="none" w:pos="13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left="-8" w:firstLine="980"/>
        <w:spacing w:after="0" w:line="259" w:lineRule="auto"/>
        <w:tabs>
          <w:tab w:leader="none" w:pos="13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61" w:lineRule="auto"/>
        <w:tabs>
          <w:tab w:leader="none" w:pos="13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4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52" w:lineRule="auto"/>
        <w:tabs>
          <w:tab w:leader="none" w:pos="13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70" w:name="page71"/>
    <w:bookmarkEnd w:id="70"/>
    <w:p>
      <w:pPr>
        <w:jc w:val="both"/>
        <w:ind w:firstLine="980"/>
        <w:spacing w:after="0" w:line="266" w:lineRule="auto"/>
        <w:tabs>
          <w:tab w:leader="none" w:pos="14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4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3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left="-980" w:firstLine="980"/>
        <w:spacing w:after="0" w:line="251" w:lineRule="auto"/>
        <w:tabs>
          <w:tab w:leader="none" w:pos="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4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423545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2" w:name="page73"/>
    <w:bookmarkEnd w:id="72"/>
    <w:p>
      <w:pPr>
        <w:jc w:val="both"/>
        <w:ind w:left="-980" w:firstLine="980"/>
        <w:spacing w:after="0" w:line="251" w:lineRule="auto"/>
        <w:tabs>
          <w:tab w:leader="none" w:pos="4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980" w:firstLine="980"/>
        <w:spacing w:after="0" w:line="251" w:lineRule="auto"/>
        <w:tabs>
          <w:tab w:leader="none" w:pos="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432435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3" w:name="page74"/>
    <w:bookmarkEnd w:id="73"/>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the Company,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25" w:lineRule="exact"/>
        <w:rPr>
          <w:sz w:val="20"/>
          <w:szCs w:val="20"/>
          <w:color w:val="auto"/>
        </w:rPr>
      </w:pPr>
    </w:p>
    <w:p>
      <w:pPr>
        <w:ind w:firstLine="980"/>
        <w:spacing w:after="0" w:line="282" w:lineRule="auto"/>
        <w:tabs>
          <w:tab w:leader="none" w:pos="13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78" w:name="page79"/>
    <w:bookmarkEnd w:id="78"/>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ERAS CAPITAL LLC</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Andrei Karkar</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Andrei Karkar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lowerRoman"/>
      <w:start w:val="4"/>
    </w:lvl>
  </w:abstractNum>
  <w:abstractNum w:abstractNumId="1">
    <w:nsid w:val="8EDBDAB"/>
    <w:multiLevelType w:val="hybridMultilevel"/>
    <w:lvl w:ilvl="0">
      <w:lvlJc w:val="left"/>
      <w:lvlText w:val="(%1)"/>
      <w:numFmt w:val="lowerRoman"/>
      <w:start w:val="9"/>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Letter"/>
      <w:start w:val="4"/>
    </w:lvl>
  </w:abstractNum>
  <w:abstractNum w:abstractNumId="4">
    <w:nsid w:val="B03E0C6"/>
    <w:multiLevelType w:val="hybridMultilevel"/>
    <w:lvl w:ilvl="0">
      <w:lvlJc w:val="left"/>
      <w:lvlText w:val="(%1)"/>
      <w:numFmt w:val="lowerLetter"/>
      <w:start w:val="2"/>
    </w:lvl>
  </w:abstractNum>
  <w:abstractNum w:abstractNumId="5">
    <w:nsid w:val="189A769B"/>
    <w:multiLevelType w:val="hybridMultilevel"/>
    <w:lvl w:ilvl="0">
      <w:lvlJc w:val="left"/>
      <w:lvlText w:val="(%1)"/>
      <w:numFmt w:val="lowerLetter"/>
      <w:start w:val="4"/>
    </w:lvl>
    <w:lvl w:ilvl="1">
      <w:lvlJc w:val="left"/>
      <w:lvlText w:val="%2."/>
      <w:numFmt w:val="lowerRoman"/>
      <w:start w:val="1"/>
    </w:lvl>
  </w:abstractNum>
  <w:abstractNum w:abstractNumId="6">
    <w:nsid w:val="54E49EB4"/>
    <w:multiLevelType w:val="hybridMultilevel"/>
    <w:lvl w:ilvl="0">
      <w:lvlJc w:val="left"/>
      <w:lvlText w:val="(%1)"/>
      <w:numFmt w:val="lowerLetter"/>
      <w:start w:val="1"/>
    </w:lvl>
    <w:lvl w:ilvl="1">
      <w:lvlJc w:val="left"/>
      <w:lvlText w:val="%2."/>
      <w:numFmt w:val="lowerRoman"/>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2"/>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lvl w:ilvl="1">
      <w:lvlJc w:val="left"/>
      <w:lvlText w:val="(%2)"/>
      <w:numFmt w:val="lowerLetter"/>
      <w:start w:val="2"/>
    </w:lvl>
  </w:abstractNum>
  <w:abstractNum w:abstractNumId="13">
    <w:nsid w:val="1E7FF521"/>
    <w:multiLevelType w:val="hybridMultilevel"/>
    <w:lvl w:ilvl="0">
      <w:lvlJc w:val="left"/>
      <w:lvlText w:val="(%1)"/>
      <w:numFmt w:val="lowerLetter"/>
      <w:start w:val="35"/>
    </w:lvl>
    <w:lvl w:ilvl="1">
      <w:lvlJc w:val="left"/>
      <w:lvlText w:val="%2"/>
      <w:numFmt w:val="lowerLetter"/>
      <w:start w:val="1"/>
    </w:lvl>
  </w:abstractNum>
  <w:abstractNum w:abstractNumId="14">
    <w:nsid w:val="7C3DBD3D"/>
    <w:multiLevelType w:val="hybridMultilevel"/>
    <w:lvl w:ilvl="0">
      <w:lvlJc w:val="left"/>
      <w:lvlText w:val="(%1)"/>
      <w:numFmt w:val="lowerLetter"/>
      <w:start w:val="6"/>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3"/>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2"/>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1)"/>
      <w:numFmt w:val="lowerLetter"/>
      <w:start w:val="4"/>
    </w:lvl>
    <w:lvl w:ilvl="1">
      <w:lvlJc w:val="left"/>
      <w:lvlText w:val="%2."/>
      <w:numFmt w:val="lowerRoman"/>
      <w:start w:val="1"/>
    </w:lvl>
  </w:abstractNum>
  <w:abstractNum w:abstractNumId="21">
    <w:nsid w:val="419AC241"/>
    <w:multiLevelType w:val="hybridMultilevel"/>
    <w:lvl w:ilvl="0">
      <w:lvlJc w:val="left"/>
      <w:lvlText w:val="(%1)"/>
      <w:numFmt w:val="lowerLetter"/>
      <w:start w:val="1"/>
    </w:lvl>
    <w:lvl w:ilvl="1">
      <w:lvlJc w:val="left"/>
      <w:lvlText w:val="%2."/>
      <w:numFmt w:val="lowerRoman"/>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1"/>
    </w:lvl>
    <w:lvl w:ilvl="1">
      <w:lvlJc w:val="left"/>
      <w:lvlText w:val="(%2)"/>
      <w:numFmt w:val="lowerLetter"/>
      <w:start w:val="2"/>
    </w:lvl>
  </w:abstractNum>
  <w:abstractNum w:abstractNumId="28">
    <w:nsid w:val="5C482A97"/>
    <w:multiLevelType w:val="hybridMultilevel"/>
    <w:lvl w:ilvl="0">
      <w:lvlJc w:val="left"/>
      <w:lvlText w:val="(%1)"/>
      <w:numFmt w:val="lowerLetter"/>
      <w:start w:val="35"/>
    </w:lvl>
    <w:lvl w:ilvl="1">
      <w:lvlJc w:val="left"/>
      <w:lvlText w:val="%2"/>
      <w:numFmt w:val="lowerLetter"/>
      <w:start w:val="1"/>
    </w:lvl>
  </w:abstractNum>
  <w:abstractNum w:abstractNumId="29">
    <w:nsid w:val="2463B9EA"/>
    <w:multiLevelType w:val="hybridMultilevel"/>
    <w:lvl w:ilvl="0">
      <w:lvlJc w:val="left"/>
      <w:lvlText w:val="(%1)"/>
      <w:numFmt w:val="lowerLetter"/>
      <w:start w:val="6"/>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3"/>
    </w:lvl>
  </w:abstractNum>
  <w:abstractNum w:abstractNumId="32">
    <w:nsid w:val="2D517796"/>
    <w:multiLevelType w:val="hybridMultilevel"/>
    <w:lvl w:ilvl="0">
      <w:lvlJc w:val="left"/>
      <w:lvlText w:val="(%1)"/>
      <w:numFmt w:val="lowerLetter"/>
      <w:start w:val="2"/>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lowerLetter"/>
      <w:start w:val="4"/>
    </w:lvl>
    <w:lvl w:ilvl="1">
      <w:lvlJc w:val="left"/>
      <w:lvlText w:val="%2."/>
      <w:numFmt w:val="lowerRoman"/>
      <w:start w:val="1"/>
    </w:lvl>
  </w:abstractNum>
  <w:abstractNum w:abstractNumId="35">
    <w:nsid w:val="3855585C"/>
    <w:multiLevelType w:val="hybridMultilevel"/>
    <w:lvl w:ilvl="0">
      <w:lvlJc w:val="left"/>
      <w:lvlText w:val="(%1)"/>
      <w:numFmt w:val="lowerLetter"/>
      <w:start w:val="1"/>
    </w:lvl>
    <w:lvl w:ilvl="1">
      <w:lvlJc w:val="left"/>
      <w:lvlText w:val="%2."/>
      <w:numFmt w:val="lowerRoman"/>
      <w:start w:val="1"/>
    </w:lvl>
  </w:abstractNum>
  <w:abstractNum w:abstractNumId="36">
    <w:nsid w:val="70A64E2A"/>
    <w:multiLevelType w:val="hybridMultilevel"/>
    <w:lvl w:ilvl="0">
      <w:lvlJc w:val="left"/>
      <w:lvlText w:val="(%1)"/>
      <w:numFmt w:val="lowerLetter"/>
      <w:start w:val="3"/>
    </w:lvl>
    <w:lvl w:ilvl="1">
      <w:lvlJc w:val="left"/>
      <w:lvlText w:val="%2."/>
      <w:numFmt w:val="lowerRoman"/>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lvl w:ilvl="1">
      <w:lvlJc w:val="left"/>
      <w:lvlText w:val="(%2)"/>
      <w:numFmt w:val="lowerLetter"/>
      <w:start w:val="2"/>
    </w:lvl>
  </w:abstractNum>
  <w:abstractNum w:abstractNumId="42">
    <w:nsid w:val="57E4CCAF"/>
    <w:multiLevelType w:val="hybridMultilevel"/>
    <w:lvl w:ilvl="0">
      <w:lvlJc w:val="left"/>
      <w:lvlText w:val="(%1)"/>
      <w:numFmt w:val="lowerLetter"/>
      <w:start w:val="35"/>
    </w:lvl>
    <w:lvl w:ilvl="1">
      <w:lvlJc w:val="left"/>
      <w:lvlText w:val="%2"/>
      <w:numFmt w:val="lowerLetter"/>
      <w:start w:val="1"/>
    </w:lvl>
  </w:abstractNum>
  <w:abstractNum w:abstractNumId="43">
    <w:nsid w:val="7A6D8D3C"/>
    <w:multiLevelType w:val="hybridMultilevel"/>
    <w:lvl w:ilvl="0">
      <w:lvlJc w:val="left"/>
      <w:lvlText w:val="(%1)"/>
      <w:numFmt w:val="lowerLetter"/>
      <w:start w:val="6"/>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3"/>
    </w:lvl>
  </w:abstractNum>
  <w:abstractNum w:abstractNumId="46">
    <w:nsid w:val="6DE91B1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2022-08-15T07:57:18Z</dcterms:created>
  <dcterms:modified xsi:type="dcterms:W3CDTF">2022-08-15T07:57:18Z</dcterms:modified>
</cp:coreProperties>
</file>