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469265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59"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8"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3" w:lineRule="exact"/>
        <w:rPr>
          <w:sz w:val="24"/>
          <w:szCs w:val="24"/>
          <w:color w:val="auto"/>
        </w:rPr>
      </w:pPr>
    </w:p>
    <w:p>
      <w:pPr>
        <w:ind w:left="3890" w:right="3600" w:hanging="3890"/>
        <w:spacing w:after="0" w:line="352" w:lineRule="auto"/>
        <w:tabs>
          <w:tab w:leader="none" w:pos="227"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 For the quarterly period ended June 30, 2022</w:t>
      </w:r>
    </w:p>
    <w:p>
      <w:pPr>
        <w:jc w:val="center"/>
        <w:ind w:right="-9"/>
        <w:spacing w:after="0"/>
        <w:rPr>
          <w:sz w:val="20"/>
          <w:szCs w:val="20"/>
          <w:color w:val="auto"/>
        </w:rPr>
      </w:pPr>
      <w:r>
        <w:rPr>
          <w:rFonts w:ascii="Arial" w:cs="Arial" w:eastAsia="Arial" w:hAnsi="Arial"/>
          <w:sz w:val="13"/>
          <w:szCs w:val="13"/>
          <w:b w:val="1"/>
          <w:bCs w:val="1"/>
          <w:color w:val="auto"/>
        </w:rPr>
        <w:t>or</w:t>
      </w:r>
    </w:p>
    <w:p>
      <w:pPr>
        <w:spacing w:after="0" w:line="67" w:lineRule="exact"/>
        <w:rPr>
          <w:sz w:val="24"/>
          <w:szCs w:val="24"/>
          <w:color w:val="auto"/>
        </w:rPr>
      </w:pPr>
    </w:p>
    <w:p>
      <w:pPr>
        <w:ind w:left="210" w:hanging="210"/>
        <w:spacing w:after="0"/>
        <w:tabs>
          <w:tab w:leader="none" w:pos="21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53" w:lineRule="exact"/>
        <w:rPr>
          <w:sz w:val="24"/>
          <w:szCs w:val="24"/>
          <w:color w:val="auto"/>
        </w:rPr>
      </w:pPr>
    </w:p>
    <w:p>
      <w:pPr>
        <w:ind w:left="4030"/>
        <w:spacing w:after="0"/>
        <w:tabs>
          <w:tab w:leader="none" w:pos="585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-5715</wp:posOffset>
            </wp:positionV>
            <wp:extent cx="120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-5715</wp:posOffset>
            </wp:positionV>
            <wp:extent cx="120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3" w:lineRule="exact"/>
        <w:rPr>
          <w:sz w:val="24"/>
          <w:szCs w:val="24"/>
          <w:color w:val="auto"/>
        </w:rPr>
      </w:pPr>
    </w:p>
    <w:p>
      <w:pPr>
        <w:ind w:left="4110"/>
        <w:spacing w:after="0"/>
        <w:rPr>
          <w:sz w:val="20"/>
          <w:szCs w:val="20"/>
          <w:color w:val="auto"/>
        </w:rPr>
      </w:pPr>
      <w:r>
        <w:rPr>
          <w:rFonts w:ascii="Arial" w:cs="Arial" w:eastAsia="Arial" w:hAnsi="Arial"/>
          <w:sz w:val="13"/>
          <w:szCs w:val="13"/>
          <w:b w:val="1"/>
          <w:bCs w:val="1"/>
          <w:color w:val="auto"/>
        </w:rPr>
        <w:t>Commission File Number: 001-39281</w:t>
      </w:r>
    </w:p>
    <w:p>
      <w:pPr>
        <w:spacing w:after="0" w:line="3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TMC THE METALS COMPANY INC.</w:t>
      </w:r>
    </w:p>
    <w:p>
      <w:pPr>
        <w:spacing w:after="0" w:line="39" w:lineRule="exact"/>
        <w:rPr>
          <w:sz w:val="24"/>
          <w:szCs w:val="24"/>
          <w:color w:val="auto"/>
        </w:rPr>
      </w:pPr>
    </w:p>
    <w:p>
      <w:pPr>
        <w:jc w:val="center"/>
        <w:ind w:right="-2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5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British Columbia, Canada</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jc w:val="center"/>
              <w:ind w:right="1508"/>
              <w:spacing w:after="0"/>
              <w:rPr>
                <w:sz w:val="20"/>
                <w:szCs w:val="20"/>
                <w:color w:val="auto"/>
              </w:rPr>
            </w:pPr>
            <w:r>
              <w:rPr>
                <w:rFonts w:ascii="Arial" w:cs="Arial" w:eastAsia="Arial" w:hAnsi="Arial"/>
                <w:sz w:val="14"/>
                <w:szCs w:val="14"/>
                <w:b w:val="1"/>
                <w:bCs w:val="1"/>
                <w:color w:val="auto"/>
                <w:w w:val="95"/>
              </w:rPr>
              <w:t>Not Applicable</w:t>
            </w:r>
          </w:p>
        </w:tc>
        <w:tc>
          <w:tcPr>
            <w:tcW w:w="0" w:type="dxa"/>
            <w:vAlign w:val="bottom"/>
          </w:tcPr>
          <w:p>
            <w:pPr>
              <w:spacing w:after="0"/>
              <w:rPr>
                <w:sz w:val="1"/>
                <w:szCs w:val="1"/>
                <w:color w:val="auto"/>
              </w:rPr>
            </w:pPr>
          </w:p>
        </w:tc>
      </w:tr>
      <w:tr>
        <w:trPr>
          <w:trHeight w:val="182"/>
        </w:trPr>
        <w:tc>
          <w:tcPr>
            <w:tcW w:w="50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2"/>
          </w:tcPr>
          <w:p>
            <w:pPr>
              <w:jc w:val="center"/>
              <w:ind w:right="140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340"/>
        </w:trPr>
        <w:tc>
          <w:tcPr>
            <w:tcW w:w="5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595 Howe Street, 10th Floor</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vMerge w:val="restart"/>
          </w:tcPr>
          <w:p>
            <w:pPr>
              <w:jc w:val="center"/>
              <w:ind w:right="1528"/>
              <w:spacing w:after="0"/>
              <w:rPr>
                <w:sz w:val="20"/>
                <w:szCs w:val="20"/>
                <w:color w:val="auto"/>
              </w:rPr>
            </w:pPr>
            <w:r>
              <w:rPr>
                <w:rFonts w:ascii="Arial" w:cs="Arial" w:eastAsia="Arial" w:hAnsi="Arial"/>
                <w:sz w:val="14"/>
                <w:szCs w:val="14"/>
                <w:b w:val="1"/>
                <w:bCs w:val="1"/>
                <w:color w:val="auto"/>
              </w:rPr>
              <w:t>V6C 2T5</w:t>
            </w:r>
          </w:p>
        </w:tc>
        <w:tc>
          <w:tcPr>
            <w:tcW w:w="0" w:type="dxa"/>
            <w:vAlign w:val="bottom"/>
          </w:tcPr>
          <w:p>
            <w:pPr>
              <w:spacing w:after="0"/>
              <w:rPr>
                <w:sz w:val="1"/>
                <w:szCs w:val="1"/>
                <w:color w:val="auto"/>
              </w:rPr>
            </w:pPr>
          </w:p>
        </w:tc>
      </w:tr>
      <w:tr>
        <w:trPr>
          <w:trHeight w:val="153"/>
        </w:trPr>
        <w:tc>
          <w:tcPr>
            <w:tcW w:w="50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Vancouver, British Columbia</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(Address of principal executive offices)</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jc w:val="center"/>
              <w:ind w:right="152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6600" w:type="dxa"/>
            <w:vAlign w:val="bottom"/>
            <w:gridSpan w:val="3"/>
          </w:tcPr>
          <w:p>
            <w:pPr>
              <w:jc w:val="center"/>
              <w:ind w:left="3548"/>
              <w:spacing w:after="0"/>
              <w:rPr>
                <w:sz w:val="20"/>
                <w:szCs w:val="20"/>
                <w:color w:val="auto"/>
              </w:rPr>
            </w:pPr>
            <w:r>
              <w:rPr>
                <w:rFonts w:ascii="Arial" w:cs="Arial" w:eastAsia="Arial" w:hAnsi="Arial"/>
                <w:sz w:val="14"/>
                <w:szCs w:val="14"/>
                <w:b w:val="1"/>
                <w:bCs w:val="1"/>
                <w:color w:val="auto"/>
                <w:w w:val="93"/>
              </w:rPr>
              <w:t>(574) 252-9333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80" w:type="dxa"/>
            <w:vAlign w:val="bottom"/>
            <w:gridSpan w:val="4"/>
          </w:tcPr>
          <w:p>
            <w:pPr>
              <w:jc w:val="center"/>
              <w:ind w:left="3448"/>
              <w:spacing w:after="0"/>
              <w:rPr>
                <w:sz w:val="20"/>
                <w:szCs w:val="20"/>
                <w:color w:val="auto"/>
              </w:rPr>
            </w:pPr>
            <w:r>
              <w:rPr>
                <w:rFonts w:ascii="Arial" w:cs="Arial" w:eastAsia="Arial" w:hAnsi="Arial"/>
                <w:sz w:val="14"/>
                <w:szCs w:val="14"/>
                <w:color w:val="auto"/>
                <w:w w:val="92"/>
              </w:rPr>
              <w:t>(Registrant’s telephone number, including area code)</w:t>
            </w: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80" w:type="dxa"/>
            <w:vAlign w:val="bottom"/>
            <w:gridSpan w:val="4"/>
          </w:tcPr>
          <w:p>
            <w:pPr>
              <w:jc w:val="center"/>
              <w:ind w:left="3448"/>
              <w:spacing w:after="0"/>
              <w:rPr>
                <w:sz w:val="20"/>
                <w:szCs w:val="20"/>
                <w:color w:val="auto"/>
              </w:rPr>
            </w:pPr>
            <w:r>
              <w:rPr>
                <w:rFonts w:ascii="Arial" w:cs="Arial" w:eastAsia="Arial" w:hAnsi="Arial"/>
                <w:sz w:val="14"/>
                <w:szCs w:val="14"/>
                <w:b w:val="1"/>
                <w:bCs w:val="1"/>
                <w:color w:val="auto"/>
                <w:w w:val="91"/>
              </w:rPr>
              <w:t>Not applicable</w:t>
            </w: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20" w:type="dxa"/>
            <w:vAlign w:val="bottom"/>
            <w:gridSpan w:val="6"/>
          </w:tcPr>
          <w:p>
            <w:pPr>
              <w:jc w:val="center"/>
              <w:spacing w:after="0"/>
              <w:rPr>
                <w:sz w:val="20"/>
                <w:szCs w:val="20"/>
                <w:color w:val="auto"/>
              </w:rPr>
            </w:pPr>
            <w:r>
              <w:rPr>
                <w:rFonts w:ascii="Arial" w:cs="Arial" w:eastAsia="Arial" w:hAnsi="Arial"/>
                <w:sz w:val="14"/>
                <w:szCs w:val="14"/>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216"/>
        </w:trPr>
        <w:tc>
          <w:tcPr>
            <w:tcW w:w="10220" w:type="dxa"/>
            <w:vAlign w:val="bottom"/>
            <w:gridSpan w:val="6"/>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214"/>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306"/>
        </w:trPr>
        <w:tc>
          <w:tcPr>
            <w:tcW w:w="50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Common Shares, without par value</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TMC</w:t>
            </w:r>
          </w:p>
        </w:tc>
        <w:tc>
          <w:tcPr>
            <w:tcW w:w="1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263"/>
        </w:trPr>
        <w:tc>
          <w:tcPr>
            <w:tcW w:w="50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Redeemable warrants, each whole warrant exercisable for one Common Share, each</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TMCWW</w:t>
            </w:r>
          </w:p>
        </w:tc>
        <w:tc>
          <w:tcPr>
            <w:tcW w:w="100" w:type="dxa"/>
            <w:vAlign w:val="bottom"/>
          </w:tcPr>
          <w:p>
            <w:pPr>
              <w:spacing w:after="0"/>
              <w:rPr>
                <w:sz w:val="22"/>
                <w:szCs w:val="22"/>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506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at an exercise price of $11.50 per share</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10"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left="10"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left="1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050" w:type="dxa"/>
        <w:tblCellMar>
          <w:top w:w="0" w:type="dxa"/>
          <w:left w:w="0" w:type="dxa"/>
          <w:bottom w:w="0" w:type="dxa"/>
          <w:right w:w="0" w:type="dxa"/>
        </w:tblCellMar>
      </w:tblPr>
      <w:tr>
        <w:trPr>
          <w:trHeight w:val="181"/>
        </w:trPr>
        <w:tc>
          <w:tcPr>
            <w:tcW w:w="22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4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40" w:type="dxa"/>
            <w:vAlign w:val="bottom"/>
          </w:tcPr>
          <w:p>
            <w:pPr>
              <w:spacing w:after="0"/>
              <w:rPr>
                <w:sz w:val="19"/>
                <w:szCs w:val="19"/>
                <w:color w:val="auto"/>
              </w:rPr>
            </w:pPr>
          </w:p>
        </w:tc>
        <w:tc>
          <w:tcPr>
            <w:tcW w:w="3080" w:type="dxa"/>
            <w:vAlign w:val="bottom"/>
          </w:tcPr>
          <w:p>
            <w:pPr>
              <w:ind w:left="78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 w:lineRule="exact"/>
        <w:rPr>
          <w:sz w:val="24"/>
          <w:szCs w:val="24"/>
          <w:color w:val="auto"/>
        </w:rPr>
      </w:pPr>
    </w:p>
    <w:p>
      <w:pPr>
        <w:ind w:left="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10" w:right="290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12, 2022, the registrant had 227,158,455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50800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85090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Table of Contents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0" w:type="dxa"/>
            <w:vAlign w:val="bottom"/>
            <w:gridSpan w:val="12"/>
          </w:tcPr>
          <w:p>
            <w:pPr>
              <w:jc w:val="center"/>
              <w:ind w:right="2620"/>
              <w:spacing w:after="0"/>
              <w:rPr>
                <w:sz w:val="20"/>
                <w:szCs w:val="20"/>
                <w:color w:val="auto"/>
              </w:rPr>
            </w:pPr>
            <w:r>
              <w:rPr>
                <w:rFonts w:ascii="Arial" w:cs="Arial" w:eastAsia="Arial" w:hAnsi="Arial"/>
                <w:sz w:val="18"/>
                <w:szCs w:val="18"/>
                <w:b w:val="1"/>
                <w:bCs w:val="1"/>
                <w:color w:val="auto"/>
              </w:rPr>
              <w:t>TMC THE METALS COMPANY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9"/>
              </w:rPr>
              <w:t>FORM 10-Q</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20" w:type="dxa"/>
            <w:vAlign w:val="bottom"/>
            <w:gridSpan w:val="13"/>
          </w:tcPr>
          <w:p>
            <w:pPr>
              <w:jc w:val="center"/>
              <w:ind w:right="2420"/>
              <w:spacing w:after="0"/>
              <w:rPr>
                <w:sz w:val="20"/>
                <w:szCs w:val="20"/>
                <w:color w:val="auto"/>
              </w:rPr>
            </w:pPr>
            <w:r>
              <w:rPr>
                <w:rFonts w:ascii="Arial" w:cs="Arial" w:eastAsia="Arial" w:hAnsi="Arial"/>
                <w:sz w:val="18"/>
                <w:szCs w:val="18"/>
                <w:color w:val="auto"/>
                <w:w w:val="89"/>
              </w:rPr>
              <w:t>For the quarterly period ended June 30, 2022</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11"/>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7"/>
              </w:rPr>
              <w:t>Condensed Consolidated Balance Sheets as of June 30, 2022 and December 31, 2021 (Unaudited)</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Loss and Comprehensive Loss for the three and six months</w:t>
            </w:r>
          </w:p>
        </w:tc>
        <w:tc>
          <w:tcPr>
            <w:tcW w:w="640" w:type="dxa"/>
            <w:vAlign w:val="bottom"/>
            <w:tcBorders>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0000EE"/>
              </w:rPr>
              <w:t>ended June 30, 2022 and 2021 (Unaudited)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38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Changes in Equity for the three and six months ended June 30,</w:t>
            </w:r>
          </w:p>
        </w:tc>
        <w:tc>
          <w:tcPr>
            <w:tcW w:w="4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0000EE"/>
              </w:rPr>
              <w:t>2022 and 2021 (Unaudited)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30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88"/>
              </w:rPr>
              <w:t>Condensed Consolidated Statements of Cash Flows for the six months ended June 30, 2022 and 2021</w:t>
            </w:r>
          </w:p>
        </w:tc>
        <w:tc>
          <w:tcPr>
            <w:tcW w:w="4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0000EE"/>
              </w:rPr>
              <w:t>(Unaudited)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 and technical feasibility of seafloor polymetallic nodule collection and processing;</w:t>
      </w:r>
    </w:p>
    <w:p>
      <w:pPr>
        <w:spacing w:after="0" w:line="23"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battery metals and battery cathode feedstocks, copper cathode and manganese 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prices of battery metals and battery cathode feedstocks, copper cathode and manganese ores;</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polymetallic nodules at sea and to process such nodules on land;</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 and our ability to continue as a going concern;</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recently announced private placement financing, including the timing of receipt, and amount, of expected proceeds therefrom;</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 and our plans with respect thereto;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restatement of our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geological, metallurgical and geotechnical studies and opinions;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status as an emerging growth company, non-reporting Canadian issuer and passive foreign investment company;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and the impact of the COVID-19 pandemic on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2021 as filed with the SEC on March 25, 2022 (the “2021 Annual Report on Form 10-K”), as updated and supplemented under the caption “Risk Factors” in Item 1A of Part II of this Quarterly Report on Form 10-Q as further updated and/or supplemented in subsequent filings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at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82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11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89"/>
              </w:rPr>
              <w:t>Note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Cash</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46,259</w:t>
            </w:r>
          </w:p>
        </w:tc>
        <w:tc>
          <w:tcPr>
            <w:tcW w:w="10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Receivables and prepayments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Exploration contracts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tax liability</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Warrants liability</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 xml:space="preserve">Common shares </w:t>
            </w:r>
            <w:r>
              <w:rPr>
                <w:rFonts w:ascii="Arial" w:cs="Arial" w:eastAsia="Arial" w:hAnsi="Arial"/>
                <w:sz w:val="18"/>
                <w:szCs w:val="18"/>
                <w:i w:val="1"/>
                <w:iCs w:val="1"/>
                <w:color w:val="auto"/>
              </w:rPr>
              <w:t>(unlimited shares, no par value – issued: 227,158,455</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i w:val="1"/>
                <w:iCs w:val="1"/>
                <w:color w:val="auto"/>
              </w:rPr>
              <w:t>(December 31, 2021 – 225,432,493))</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299,056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 J Special Shares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Additional paid in capital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113,487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Deficit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(337,658)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(304,157)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i w:val="1"/>
          <w:iCs w:val="1"/>
          <w:color w:val="auto"/>
        </w:rPr>
        <w:t>(Note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i w:val="1"/>
          <w:iCs w:val="1"/>
          <w:color w:val="auto"/>
        </w:rPr>
        <w:t>(Note 11)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2240" w:type="dxa"/>
            <w:vAlign w:val="bottom"/>
            <w:gridSpan w:val="5"/>
          </w:tcPr>
          <w:p>
            <w:pPr>
              <w:jc w:val="right"/>
              <w:ind w:right="55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240" w:type="dxa"/>
            <w:vAlign w:val="bottom"/>
            <w:gridSpan w:val="5"/>
          </w:tcPr>
          <w:p>
            <w:pPr>
              <w:jc w:val="right"/>
              <w:ind w:right="85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2022</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10"/>
                <w:szCs w:val="10"/>
                <w:b w:val="1"/>
                <w:bCs w:val="1"/>
                <w:color w:val="auto"/>
              </w:rPr>
              <w:t>1</w:t>
            </w: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10"/>
                <w:szCs w:val="10"/>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(Note 1)</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Exploration and evaluation expenses</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9,985</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18,226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17,328</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18,328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34,235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Other items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Foreign exchange loss (gain)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and comprehensive loss for the period</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33,501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b w:val="1"/>
                <w:bCs w:val="1"/>
                <w:color w:val="auto"/>
              </w:rPr>
              <w:t>– Basic and diluted</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0.44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62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w w:val="92"/>
              </w:rPr>
              <w:t>Weighted average number of common shares outstanding</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b w:val="1"/>
                <w:bCs w:val="1"/>
                <w:color w:val="auto"/>
              </w:rPr>
              <w:t>— basic and diluted</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227,119,216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196,508,806</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226,600,186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194,455,031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80" w:hanging="332"/>
        <w:spacing w:after="0" w:line="219" w:lineRule="auto"/>
        <w:tabs>
          <w:tab w:leader="none" w:pos="34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The condensed consolidated statements of loss and comprehensive loss for the three and six months ended June 30, 2021 were restated. Refer to the Company’s Quarterly Report on Form 10-Q for the quarter ended September 30, 2021 filed with the Securities and Exchange Commission on November 15,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8"/>
            <w:vMerge w:val="restart"/>
          </w:tcPr>
          <w:p>
            <w:pPr>
              <w:ind w:left="24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2"/>
                <w:szCs w:val="12"/>
                <w:color w:val="auto"/>
              </w:rPr>
            </w:pPr>
          </w:p>
        </w:tc>
        <w:tc>
          <w:tcPr>
            <w:tcW w:w="70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Special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June 30, 2022</w:t>
            </w:r>
          </w:p>
        </w:tc>
        <w:tc>
          <w:tcPr>
            <w:tcW w:w="60" w:type="dxa"/>
            <w:vAlign w:val="bottom"/>
          </w:tcPr>
          <w:p>
            <w:pPr>
              <w:spacing w:after="0"/>
              <w:rPr>
                <w:sz w:val="14"/>
                <w:szCs w:val="14"/>
                <w:color w:val="auto"/>
              </w:rPr>
            </w:pPr>
          </w:p>
        </w:tc>
        <w:tc>
          <w:tcPr>
            <w:tcW w:w="172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Paid 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gridSpan w:val="4"/>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2"/>
                <w:szCs w:val="12"/>
                <w:color w:val="auto"/>
              </w:rPr>
            </w:pPr>
          </w:p>
        </w:tc>
        <w:tc>
          <w:tcPr>
            <w:tcW w:w="7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6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226,780,843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$ 298,263</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gridSpan w:val="2"/>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107,952</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(325,274)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79,725</w:t>
            </w:r>
          </w:p>
        </w:tc>
        <w:tc>
          <w:tcPr>
            <w:tcW w:w="0" w:type="dxa"/>
            <w:vAlign w:val="bottom"/>
          </w:tcPr>
          <w:p>
            <w:pPr>
              <w:spacing w:after="0"/>
              <w:rPr>
                <w:sz w:val="1"/>
                <w:szCs w:val="1"/>
                <w:color w:val="auto"/>
              </w:rPr>
            </w:pPr>
          </w:p>
        </w:tc>
      </w:tr>
      <w:tr>
        <w:trPr>
          <w:trHeight w:val="148"/>
        </w:trPr>
        <w:tc>
          <w:tcPr>
            <w:tcW w:w="2760" w:type="dxa"/>
            <w:vAlign w:val="bottom"/>
            <w:gridSpan w:val="4"/>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7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Conversion of restricted share units, net of</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shares withheld for taxes (Note 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316,725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(705)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gridSpan w:val="4"/>
          </w:tcPr>
          <w:p>
            <w:pPr>
              <w:spacing w:after="0" w:line="130" w:lineRule="exact"/>
              <w:rPr>
                <w:sz w:val="20"/>
                <w:szCs w:val="20"/>
                <w:color w:val="auto"/>
              </w:rPr>
            </w:pPr>
            <w:r>
              <w:rPr>
                <w:rFonts w:ascii="Arial" w:cs="Arial" w:eastAsia="Arial" w:hAnsi="Arial"/>
                <w:sz w:val="14"/>
                <w:szCs w:val="14"/>
                <w:color w:val="auto"/>
              </w:rPr>
              <w:t>Share purchase under Employee Share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gridSpan w:val="4"/>
          </w:tcPr>
          <w:p>
            <w:pPr>
              <w:ind w:left="140"/>
              <w:spacing w:after="0"/>
              <w:rPr>
                <w:sz w:val="20"/>
                <w:szCs w:val="20"/>
                <w:color w:val="auto"/>
              </w:rPr>
            </w:pPr>
            <w:r>
              <w:rPr>
                <w:rFonts w:ascii="Arial" w:cs="Arial" w:eastAsia="Arial" w:hAnsi="Arial"/>
                <w:sz w:val="14"/>
                <w:szCs w:val="14"/>
                <w:color w:val="auto"/>
              </w:rPr>
              <w:t>Purchase Plan (Note 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42,426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27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6,305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130"/>
        </w:trPr>
        <w:tc>
          <w:tcPr>
            <w:tcW w:w="2760" w:type="dxa"/>
            <w:vAlign w:val="bottom"/>
            <w:gridSpan w:val="4"/>
          </w:tcPr>
          <w:p>
            <w:pPr>
              <w:spacing w:after="0" w:line="130" w:lineRule="exact"/>
              <w:rPr>
                <w:sz w:val="20"/>
                <w:szCs w:val="20"/>
                <w:color w:val="auto"/>
              </w:rPr>
            </w:pPr>
            <w:r>
              <w:rPr>
                <w:rFonts w:ascii="Arial" w:cs="Arial" w:eastAsia="Arial" w:hAnsi="Arial"/>
                <w:sz w:val="14"/>
                <w:szCs w:val="14"/>
                <w:color w:val="auto"/>
              </w:rPr>
              <w:t>Expenses to be settled in share-based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gridSpan w:val="4"/>
          </w:tcPr>
          <w:p>
            <w:pPr>
              <w:ind w:left="140"/>
              <w:spacing w:after="0"/>
              <w:rPr>
                <w:sz w:val="20"/>
                <w:szCs w:val="20"/>
                <w:color w:val="auto"/>
              </w:rPr>
            </w:pPr>
            <w:r>
              <w:rPr>
                <w:rFonts w:ascii="Arial" w:cs="Arial" w:eastAsia="Arial" w:hAnsi="Arial"/>
                <w:sz w:val="14"/>
                <w:szCs w:val="14"/>
                <w:color w:val="auto"/>
              </w:rPr>
              <w:t>payments</w:t>
            </w:r>
          </w:p>
        </w:tc>
        <w:tc>
          <w:tcPr>
            <w:tcW w:w="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2"/>
        </w:trPr>
        <w:tc>
          <w:tcPr>
            <w:tcW w:w="27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Loss for the period</w:t>
            </w:r>
          </w:p>
        </w:tc>
        <w:tc>
          <w:tcPr>
            <w:tcW w:w="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(12,384)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(12,384)</w:t>
            </w:r>
          </w:p>
        </w:tc>
        <w:tc>
          <w:tcPr>
            <w:tcW w:w="0" w:type="dxa"/>
            <w:vAlign w:val="bottom"/>
          </w:tcPr>
          <w:p>
            <w:pPr>
              <w:spacing w:after="0"/>
              <w:rPr>
                <w:sz w:val="1"/>
                <w:szCs w:val="1"/>
                <w:color w:val="auto"/>
              </w:rPr>
            </w:pPr>
          </w:p>
        </w:tc>
      </w:tr>
      <w:tr>
        <w:trPr>
          <w:trHeight w:val="115"/>
        </w:trPr>
        <w:tc>
          <w:tcPr>
            <w:tcW w:w="2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3"/>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June 30, 2022</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227,158,455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$ 299,056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113,487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 (337,658)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73,669</w:t>
            </w:r>
          </w:p>
        </w:tc>
        <w:tc>
          <w:tcPr>
            <w:tcW w:w="0" w:type="dxa"/>
            <w:vAlign w:val="bottom"/>
          </w:tcPr>
          <w:p>
            <w:pPr>
              <w:spacing w:after="0"/>
              <w:rPr>
                <w:sz w:val="1"/>
                <w:szCs w:val="1"/>
                <w:color w:val="auto"/>
              </w:rPr>
            </w:pPr>
          </w:p>
        </w:tc>
      </w:tr>
      <w:tr>
        <w:trPr>
          <w:trHeight w:val="349"/>
        </w:trPr>
        <w:tc>
          <w:tcPr>
            <w:tcW w:w="2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June 30, 2021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8"/>
            <w:vMerge w:val="restart"/>
          </w:tcPr>
          <w:p>
            <w:pPr>
              <w:ind w:left="34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Special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(Restated </w:t>
            </w:r>
            <w:r>
              <w:rPr>
                <w:rFonts w:ascii="Arial" w:cs="Arial" w:eastAsia="Arial" w:hAnsi="Arial"/>
                <w:sz w:val="10"/>
                <w:szCs w:val="10"/>
                <w:b w:val="1"/>
                <w:bCs w:val="1"/>
                <w:color w:val="auto"/>
              </w:rPr>
              <w:t>1</w:t>
            </w: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72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Paid 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(Note 1)</w:t>
            </w:r>
          </w:p>
        </w:tc>
        <w:tc>
          <w:tcPr>
            <w:tcW w:w="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2"/>
                <w:szCs w:val="12"/>
                <w:color w:val="auto"/>
              </w:rPr>
            </w:pPr>
          </w:p>
        </w:tc>
        <w:tc>
          <w:tcPr>
            <w:tcW w:w="7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6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195,945,508</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183,137</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61,728</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(218,568)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25,631</w:t>
            </w:r>
          </w:p>
        </w:tc>
        <w:tc>
          <w:tcPr>
            <w:tcW w:w="0" w:type="dxa"/>
            <w:vAlign w:val="bottom"/>
          </w:tcPr>
          <w:p>
            <w:pPr>
              <w:spacing w:after="0"/>
              <w:rPr>
                <w:sz w:val="1"/>
                <w:szCs w:val="1"/>
                <w:color w:val="auto"/>
              </w:rPr>
            </w:pPr>
          </w:p>
        </w:tc>
      </w:tr>
      <w:tr>
        <w:trPr>
          <w:trHeight w:val="148"/>
        </w:trPr>
        <w:tc>
          <w:tcPr>
            <w:tcW w:w="2760" w:type="dxa"/>
            <w:vAlign w:val="bottom"/>
            <w:gridSpan w:val="4"/>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1,841,944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48"/>
        </w:trPr>
        <w:tc>
          <w:tcPr>
            <w:tcW w:w="27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15,343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15,343</w:t>
            </w:r>
          </w:p>
        </w:tc>
        <w:tc>
          <w:tcPr>
            <w:tcW w:w="0" w:type="dxa"/>
            <w:vAlign w:val="bottom"/>
          </w:tcPr>
          <w:p>
            <w:pPr>
              <w:spacing w:after="0"/>
              <w:rPr>
                <w:sz w:val="1"/>
                <w:szCs w:val="1"/>
                <w:color w:val="auto"/>
              </w:rPr>
            </w:pPr>
          </w:p>
        </w:tc>
      </w:tr>
      <w:tr>
        <w:trPr>
          <w:trHeight w:val="149"/>
        </w:trPr>
        <w:tc>
          <w:tcPr>
            <w:tcW w:w="2760" w:type="dxa"/>
            <w:vAlign w:val="bottom"/>
            <w:gridSpan w:val="4"/>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6,947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8"/>
        </w:trPr>
        <w:tc>
          <w:tcPr>
            <w:tcW w:w="27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(29,140)</w:t>
            </w:r>
          </w:p>
        </w:tc>
        <w:tc>
          <w:tcPr>
            <w:tcW w:w="0" w:type="dxa"/>
            <w:vAlign w:val="bottom"/>
          </w:tcPr>
          <w:p>
            <w:pPr>
              <w:spacing w:after="0"/>
              <w:rPr>
                <w:sz w:val="1"/>
                <w:szCs w:val="1"/>
                <w:color w:val="auto"/>
              </w:rPr>
            </w:pPr>
          </w:p>
        </w:tc>
      </w:tr>
      <w:tr>
        <w:trPr>
          <w:trHeight w:val="142"/>
        </w:trPr>
        <w:tc>
          <w:tcPr>
            <w:tcW w:w="2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6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197,794,399</w:t>
            </w:r>
          </w:p>
        </w:tc>
        <w:tc>
          <w:tcPr>
            <w:tcW w:w="14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188,901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72,541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(247,708)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13,068</w:t>
            </w: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300" w:hanging="332"/>
        <w:spacing w:after="0" w:line="219" w:lineRule="auto"/>
        <w:tabs>
          <w:tab w:leader="none" w:pos="34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The condensed consolidated statement of changes in shareholders’ equity for the three months ended June 30, 2021 was restated. Refer to the Company’s Quarterly Report on Form 10-Q for the quarter ended September 30, 2021 filed with the Securities and Exchange Commission on November 15,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Preferred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Special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Paid 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Six months ended June 30, 2022</w:t>
            </w:r>
          </w:p>
        </w:tc>
        <w:tc>
          <w:tcPr>
            <w:tcW w:w="86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6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225,432,493</w:t>
            </w: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296,051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102,073</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(304,157)</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92,751</w:t>
            </w:r>
          </w:p>
        </w:tc>
        <w:tc>
          <w:tcPr>
            <w:tcW w:w="0" w:type="dxa"/>
            <w:vAlign w:val="bottom"/>
          </w:tcPr>
          <w:p>
            <w:pPr>
              <w:spacing w:after="0"/>
              <w:rPr>
                <w:sz w:val="1"/>
                <w:szCs w:val="1"/>
                <w:color w:val="auto"/>
              </w:rPr>
            </w:pPr>
          </w:p>
        </w:tc>
      </w:tr>
      <w:tr>
        <w:trPr>
          <w:trHeight w:val="149"/>
        </w:trPr>
        <w:tc>
          <w:tcPr>
            <w:tcW w:w="2840" w:type="dxa"/>
            <w:vAlign w:val="bottom"/>
            <w:gridSpan w:val="5"/>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18,461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84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Conversion of restricted share units, net of</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shares withheld for taxes (Note 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1,665,075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2,917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(2,995)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0"/>
        </w:trPr>
        <w:tc>
          <w:tcPr>
            <w:tcW w:w="2840" w:type="dxa"/>
            <w:vAlign w:val="bottom"/>
            <w:gridSpan w:val="5"/>
          </w:tcPr>
          <w:p>
            <w:pPr>
              <w:spacing w:after="0" w:line="130" w:lineRule="exact"/>
              <w:rPr>
                <w:sz w:val="20"/>
                <w:szCs w:val="20"/>
                <w:color w:val="auto"/>
              </w:rPr>
            </w:pPr>
            <w:r>
              <w:rPr>
                <w:rFonts w:ascii="Arial" w:cs="Arial" w:eastAsia="Arial" w:hAnsi="Arial"/>
                <w:sz w:val="14"/>
                <w:szCs w:val="14"/>
                <w:color w:val="auto"/>
              </w:rPr>
              <w:t>Share purchase under Employee Share</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gridSpan w:val="5"/>
          </w:tcPr>
          <w:p>
            <w:pPr>
              <w:ind w:left="140"/>
              <w:spacing w:after="0"/>
              <w:rPr>
                <w:sz w:val="20"/>
                <w:szCs w:val="20"/>
                <w:color w:val="auto"/>
              </w:rPr>
            </w:pPr>
            <w:r>
              <w:rPr>
                <w:rFonts w:ascii="Arial" w:cs="Arial" w:eastAsia="Arial" w:hAnsi="Arial"/>
                <w:sz w:val="14"/>
                <w:szCs w:val="14"/>
                <w:color w:val="auto"/>
              </w:rPr>
              <w:t>Purchase Plan (Note 6)</w:t>
            </w:r>
          </w:p>
        </w:tc>
        <w:tc>
          <w:tcPr>
            <w:tcW w:w="840" w:type="dxa"/>
            <w:vAlign w:val="bottom"/>
          </w:tcPr>
          <w:p>
            <w:pPr>
              <w:jc w:val="right"/>
              <w:spacing w:after="0"/>
              <w:rPr>
                <w:sz w:val="20"/>
                <w:szCs w:val="20"/>
                <w:color w:val="auto"/>
              </w:rPr>
            </w:pPr>
            <w:r>
              <w:rPr>
                <w:rFonts w:ascii="Arial" w:cs="Arial" w:eastAsia="Arial" w:hAnsi="Arial"/>
                <w:sz w:val="14"/>
                <w:szCs w:val="14"/>
                <w:color w:val="auto"/>
              </w:rPr>
              <w:t>42,426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8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14,429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14,429</w:t>
            </w:r>
          </w:p>
        </w:tc>
        <w:tc>
          <w:tcPr>
            <w:tcW w:w="0" w:type="dxa"/>
            <w:vAlign w:val="bottom"/>
          </w:tcPr>
          <w:p>
            <w:pPr>
              <w:spacing w:after="0"/>
              <w:rPr>
                <w:sz w:val="1"/>
                <w:szCs w:val="1"/>
                <w:color w:val="auto"/>
              </w:rPr>
            </w:pPr>
          </w:p>
        </w:tc>
      </w:tr>
      <w:tr>
        <w:trPr>
          <w:trHeight w:val="148"/>
        </w:trPr>
        <w:tc>
          <w:tcPr>
            <w:tcW w:w="2840" w:type="dxa"/>
            <w:vAlign w:val="bottom"/>
            <w:gridSpan w:val="5"/>
          </w:tcPr>
          <w:p>
            <w:pPr>
              <w:spacing w:after="0" w:line="149" w:lineRule="exact"/>
              <w:rPr>
                <w:sz w:val="20"/>
                <w:szCs w:val="20"/>
                <w:color w:val="auto"/>
              </w:rPr>
            </w:pPr>
            <w:r>
              <w:rPr>
                <w:rFonts w:ascii="Arial" w:cs="Arial" w:eastAsia="Arial" w:hAnsi="Arial"/>
                <w:sz w:val="14"/>
                <w:szCs w:val="14"/>
                <w:color w:val="auto"/>
              </w:rPr>
              <w:t>Loss for the period</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(33,501)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(33,501)</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2022</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227,158,455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299,056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113,487</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(337,658)</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73,669</w:t>
            </w:r>
          </w:p>
        </w:tc>
        <w:tc>
          <w:tcPr>
            <w:tcW w:w="0" w:type="dxa"/>
            <w:vAlign w:val="bottom"/>
          </w:tcPr>
          <w:p>
            <w:pPr>
              <w:spacing w:after="0"/>
              <w:rPr>
                <w:sz w:val="1"/>
                <w:szCs w:val="1"/>
                <w:color w:val="auto"/>
              </w:rPr>
            </w:pPr>
          </w:p>
        </w:tc>
      </w:tr>
      <w:tr>
        <w:trPr>
          <w:trHeight w:val="376"/>
        </w:trPr>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20" w:type="dxa"/>
            <w:vAlign w:val="bottom"/>
            <w:gridSpan w:val="4"/>
          </w:tcPr>
          <w:p>
            <w:pPr>
              <w:spacing w:after="0"/>
              <w:rPr>
                <w:sz w:val="20"/>
                <w:szCs w:val="20"/>
                <w:color w:val="auto"/>
              </w:rPr>
            </w:pPr>
            <w:r>
              <w:rPr>
                <w:rFonts w:ascii="Arial" w:cs="Arial" w:eastAsia="Arial" w:hAnsi="Arial"/>
                <w:sz w:val="14"/>
                <w:szCs w:val="14"/>
                <w:b w:val="1"/>
                <w:bCs w:val="1"/>
                <w:color w:val="auto"/>
              </w:rPr>
              <w:t>Six months ended June 30, 2021</w:t>
            </w: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 xml:space="preserve">(Restated </w:t>
            </w:r>
            <w:r>
              <w:rPr>
                <w:rFonts w:ascii="Arial" w:cs="Arial" w:eastAsia="Arial" w:hAnsi="Arial"/>
                <w:sz w:val="9"/>
                <w:szCs w:val="9"/>
                <w:b w:val="1"/>
                <w:bCs w:val="1"/>
                <w:color w:val="auto"/>
              </w:rPr>
              <w:t>1</w:t>
            </w: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8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0"/>
                <w:szCs w:val="10"/>
                <w:color w:val="auto"/>
              </w:rPr>
            </w:pPr>
          </w:p>
        </w:tc>
        <w:tc>
          <w:tcPr>
            <w:tcW w:w="74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580" w:type="dxa"/>
            <w:vAlign w:val="bottom"/>
            <w:gridSpan w:val="4"/>
          </w:tcPr>
          <w:p>
            <w:pPr>
              <w:jc w:val="right"/>
              <w:ind w:right="100"/>
              <w:spacing w:after="0" w:line="119" w:lineRule="exact"/>
              <w:rPr>
                <w:sz w:val="20"/>
                <w:szCs w:val="20"/>
                <w:color w:val="auto"/>
              </w:rPr>
            </w:pPr>
            <w:r>
              <w:rPr>
                <w:rFonts w:ascii="Arial" w:cs="Arial" w:eastAsia="Arial" w:hAnsi="Arial"/>
                <w:sz w:val="13"/>
                <w:szCs w:val="13"/>
                <w:b w:val="1"/>
                <w:bCs w:val="1"/>
                <w:color w:val="auto"/>
              </w:rPr>
              <w:t>Special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Paid in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(Note 1)</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189,493,593</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154,431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58"/>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45,347</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(162,858)</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36,254</w:t>
            </w:r>
          </w:p>
        </w:tc>
        <w:tc>
          <w:tcPr>
            <w:tcW w:w="0" w:type="dxa"/>
            <w:vAlign w:val="bottom"/>
          </w:tcPr>
          <w:p>
            <w:pPr>
              <w:spacing w:after="0"/>
              <w:rPr>
                <w:sz w:val="1"/>
                <w:szCs w:val="1"/>
                <w:color w:val="auto"/>
              </w:rPr>
            </w:pPr>
          </w:p>
        </w:tc>
      </w:tr>
      <w:tr>
        <w:trPr>
          <w:trHeight w:val="149"/>
        </w:trPr>
        <w:tc>
          <w:tcPr>
            <w:tcW w:w="2840" w:type="dxa"/>
            <w:vAlign w:val="bottom"/>
            <w:gridSpan w:val="5"/>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3,990,934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8,258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(5,702)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130"/>
        </w:trPr>
        <w:tc>
          <w:tcPr>
            <w:tcW w:w="284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Common shares to be issued for exploration</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and evaluation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4,245,031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12,785</w:t>
            </w:r>
          </w:p>
        </w:tc>
        <w:tc>
          <w:tcPr>
            <w:tcW w:w="0" w:type="dxa"/>
            <w:vAlign w:val="bottom"/>
          </w:tcPr>
          <w:p>
            <w:pPr>
              <w:spacing w:after="0"/>
              <w:rPr>
                <w:sz w:val="1"/>
                <w:szCs w:val="1"/>
                <w:color w:val="auto"/>
              </w:rPr>
            </w:pPr>
          </w:p>
        </w:tc>
      </w:tr>
      <w:tr>
        <w:trPr>
          <w:trHeight w:val="148"/>
        </w:trPr>
        <w:tc>
          <w:tcPr>
            <w:tcW w:w="2840" w:type="dxa"/>
            <w:vAlign w:val="bottom"/>
            <w:gridSpan w:val="5"/>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45,768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45,768</w:t>
            </w:r>
          </w:p>
        </w:tc>
        <w:tc>
          <w:tcPr>
            <w:tcW w:w="0" w:type="dxa"/>
            <w:vAlign w:val="bottom"/>
          </w:tcPr>
          <w:p>
            <w:pPr>
              <w:spacing w:after="0"/>
              <w:rPr>
                <w:sz w:val="1"/>
                <w:szCs w:val="1"/>
                <w:color w:val="auto"/>
              </w:rPr>
            </w:pPr>
          </w:p>
        </w:tc>
      </w:tr>
      <w:tr>
        <w:trPr>
          <w:trHeight w:val="130"/>
        </w:trPr>
        <w:tc>
          <w:tcPr>
            <w:tcW w:w="284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w w:val="97"/>
              </w:rPr>
              <w:t>Common shares to be issued for stock options</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exercise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2840" w:type="dxa"/>
            <w:vAlign w:val="bottom"/>
            <w:gridSpan w:val="5"/>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6,947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8"/>
        </w:trPr>
        <w:tc>
          <w:tcPr>
            <w:tcW w:w="28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Conversion of debentures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57,894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8"/>
        </w:trPr>
        <w:tc>
          <w:tcPr>
            <w:tcW w:w="2840" w:type="dxa"/>
            <w:vAlign w:val="bottom"/>
            <w:gridSpan w:val="5"/>
          </w:tcPr>
          <w:p>
            <w:pPr>
              <w:spacing w:after="0" w:line="149" w:lineRule="exact"/>
              <w:rPr>
                <w:sz w:val="20"/>
                <w:szCs w:val="20"/>
                <w:color w:val="auto"/>
              </w:rPr>
            </w:pPr>
            <w:r>
              <w:rPr>
                <w:rFonts w:ascii="Arial" w:cs="Arial" w:eastAsia="Arial" w:hAnsi="Arial"/>
                <w:sz w:val="14"/>
                <w:szCs w:val="14"/>
                <w:color w:val="auto"/>
              </w:rPr>
              <w:t>Loss for the period</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(84,850)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(84,850)</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197,794,399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188,901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58"/>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72,541</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3"/>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(247,708)</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13,068</w:t>
            </w: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19" w:lineRule="auto"/>
        <w:tabs>
          <w:tab w:leader="none" w:pos="34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The condensed consolidated statement of changes in shareholders’ equity for the six months ended June 30,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9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60" w:type="dxa"/>
            <w:vAlign w:val="bottom"/>
            <w:gridSpan w:val="3"/>
            <w:vMerge w:val="restart"/>
          </w:tcPr>
          <w:p>
            <w:pPr>
              <w:jc w:val="center"/>
              <w:ind w:right="379"/>
              <w:spacing w:after="0"/>
              <w:rPr>
                <w:sz w:val="20"/>
                <w:szCs w:val="20"/>
                <w:color w:val="auto"/>
              </w:rPr>
            </w:pPr>
            <w:r>
              <w:rPr>
                <w:rFonts w:ascii="Arial" w:cs="Arial" w:eastAsia="Arial" w:hAnsi="Arial"/>
                <w:sz w:val="14"/>
                <w:szCs w:val="14"/>
                <w:b w:val="1"/>
                <w:bCs w:val="1"/>
                <w:color w:val="auto"/>
                <w:w w:val="96"/>
              </w:rPr>
              <w:t>Note</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xml:space="preserve">(Restated </w:t>
            </w:r>
            <w:r>
              <w:rPr>
                <w:rFonts w:ascii="Arial" w:cs="Arial" w:eastAsia="Arial" w:hAnsi="Arial"/>
                <w:sz w:val="10"/>
                <w:szCs w:val="10"/>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136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(33,501)</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Items not affecting cash:</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 settled with share-based payments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200"/>
              <w:spacing w:after="0"/>
              <w:rPr>
                <w:sz w:val="20"/>
                <w:szCs w:val="20"/>
                <w:color w:val="auto"/>
              </w:rPr>
            </w:pPr>
            <w:r>
              <w:rPr>
                <w:rFonts w:ascii="Arial" w:cs="Arial" w:eastAsia="Arial" w:hAnsi="Arial"/>
                <w:sz w:val="18"/>
                <w:szCs w:val="18"/>
                <w:color w:val="auto"/>
              </w:rPr>
              <w:t>Interest on convertible debentures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warrants liability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200"/>
              <w:spacing w:after="0"/>
              <w:rPr>
                <w:sz w:val="20"/>
                <w:szCs w:val="20"/>
                <w:color w:val="auto"/>
              </w:rPr>
            </w:pPr>
            <w:r>
              <w:rPr>
                <w:rFonts w:ascii="Arial" w:cs="Arial" w:eastAsia="Arial" w:hAnsi="Arial"/>
                <w:sz w:val="18"/>
                <w:szCs w:val="18"/>
                <w:color w:val="auto"/>
              </w:rPr>
              <w:t>Unrealized foreign exchange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Receivables and prepayments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(1,089)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(38,123)</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of deferred acquisition costs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Acquisition of equipment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Proceeds from employee share purchase plan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Proceeds from issuance of convertible debentures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withheld and paid on share-based compensation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(Decrease) increase in cash</w:t>
            </w:r>
          </w:p>
        </w:tc>
        <w:tc>
          <w:tcPr>
            <w:tcW w:w="1360" w:type="dxa"/>
            <w:vAlign w:val="bottom"/>
            <w:gridSpan w:val="3"/>
          </w:tcPr>
          <w:p>
            <w:pPr>
              <w:ind w:left="10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(38,585)</w:t>
            </w:r>
          </w:p>
        </w:tc>
        <w:tc>
          <w:tcPr>
            <w:tcW w:w="240" w:type="dxa"/>
            <w:vAlign w:val="bottom"/>
          </w:tcPr>
          <w:p>
            <w:pPr>
              <w:jc w:val="right"/>
              <w:ind w:right="55"/>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Cash - beginning of period</w:t>
            </w: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84,873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46,259</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right="200" w:hanging="332"/>
        <w:spacing w:after="0" w:line="219"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The condensed consolidated statement of cash flows for the six months ended June 30, 2021 was restated. Refer to the Company’s Quarterly Report on Form 10-Q for the quarter ended September 30, 2021 filed with the Securities and Exchange Commission on November 15,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6"/>
          <w:szCs w:val="16"/>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175"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for electric vehicles (“EV”) and renewable energy storage markets, (ii) nickel-copper-cobalt matte and/or copper cathode for EV wiring, clean energy transmission and other applications and (iii) manganese silicate for manganese alloy production require for steel production.</w:t>
      </w:r>
    </w:p>
    <w:p>
      <w:pPr>
        <w:spacing w:after="0" w:line="164"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6"/>
          <w:szCs w:val="16"/>
          <w:color w:val="auto"/>
        </w:rPr>
        <w:t>Exploration and exploitation of seabed minerals in international waters is regulated by the International Seabed Authority (“ISA”), an intergovernmental organization established in 1994 pursuant to the United Nations Convention on the Law of the Sea. ISA contracts are granted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(“Marawa Area”). The Company through its subsidiary DeepGreen Engineering Pte. Ltd. (“DGE”) entered into an option agreement (the “Marawa Option Agreement”) with Marawa to acquire the right to purchase tenements, as may be granted to Marawa by the ISA or any other regulatory body, granted to exclusively collect nodules from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194"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17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All share and per share amounts have been adjusted to reflect the impact of the Business Combination.</w:t>
      </w:r>
    </w:p>
    <w:p>
      <w:pPr>
        <w:spacing w:after="0" w:line="15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48"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and warrants liability (Note 5). Actual results could differ materially from those estimates.</w:t>
      </w:r>
    </w:p>
    <w:p>
      <w:pPr>
        <w:spacing w:after="0" w:line="9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48"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83" w:lineRule="exact"/>
        <w:rPr>
          <w:rFonts w:ascii="Arial" w:cs="Arial" w:eastAsia="Arial" w:hAnsi="Arial"/>
          <w:sz w:val="18"/>
          <w:szCs w:val="18"/>
          <w:b w:val="1"/>
          <w:bCs w:val="1"/>
          <w:color w:val="auto"/>
        </w:rPr>
      </w:pPr>
    </w:p>
    <w:p>
      <w:pPr>
        <w:ind w:left="660" w:right="2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 xml:space="preserve"> - Valuations based on quoted prices in active markets for identical assets or liabilities that an entity has the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 xml:space="preserve"> - Valuations based on quoted prices for similar assets or liabilities, quoted prices for identical assets or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data for substantially the full term of the assets or liabilities.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 xml:space="preserve"> - Valuations based on inputs that are supported by little or no market activity and that are significant to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or liabilities.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transfers between fair value measurement levels during the three and six months ended June 30, 2022 and 2021.</w:t>
      </w:r>
    </w:p>
    <w:p>
      <w:pPr>
        <w:spacing w:after="0" w:line="248"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As at June 30,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 Adopted during the period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Share-Based Compensation on Employee Share Purchase Plan</w:t>
      </w:r>
    </w:p>
    <w:p>
      <w:pPr>
        <w:spacing w:after="0" w:line="229"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During the second quarter of 2022, the Company implemented an employee share purchase plan (the “ESPP”) whereby employees can purchase common shares of the Company at a 15% discount to its share price at the time of purchase, through payroll deductions (Note 6). Employee contributions are converted into common shares at a discount to the lower of the share price at the beginning of the offering period and the share price at the end of the purchase period. The fair value of the shares purchased under the ESPP is estimated on the grant date using a Black-Scholes option-pricing model and is reported as share-based compensation over the offering period, using the accelerated attribution method. Share-based compensation costs are charged to exploration and evaluation expenses or general and administrative expenses in the statement of loss and comprehensive loss.</w:t>
      </w:r>
    </w:p>
    <w:p>
      <w:pPr>
        <w:spacing w:after="0" w:line="16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Issued and Adopted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Accounting for Certain Modifications or Exchanges of Freestanding Equity-Classified Written Call Options</w:t>
      </w:r>
    </w:p>
    <w:p>
      <w:pPr>
        <w:spacing w:after="0" w:line="229"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 xml:space="preserve">In May 2021, the Financial Accounting Standards Board (the “FASB”) issued Accounting Standards Update (“ASU”) 2021-04, </w:t>
      </w:r>
      <w:r>
        <w:rPr>
          <w:rFonts w:ascii="Arial" w:cs="Arial" w:eastAsia="Arial" w:hAnsi="Arial"/>
          <w:sz w:val="17"/>
          <w:szCs w:val="17"/>
          <w:i w:val="1"/>
          <w:i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Arial" w:cs="Arial" w:eastAsia="Arial" w:hAnsi="Arial"/>
          <w:sz w:val="17"/>
          <w:szCs w:val="17"/>
          <w:color w:val="auto"/>
        </w:rPr>
        <w:t>, which clarified and reduced</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jc w:val="both"/>
        <w:ind w:left="340" w:right="7860" w:hanging="332"/>
        <w:spacing w:after="0" w:line="566" w:lineRule="auto"/>
        <w:tabs>
          <w:tab w:leader="none" w:pos="3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Exploration Contracts Strategic Partnerships</w:t>
      </w: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Strategic Alliance with Allseas Pilot Mining Test Project</w:t>
      </w:r>
    </w:p>
    <w:p>
      <w:pPr>
        <w:spacing w:after="0" w:line="225" w:lineRule="exact"/>
        <w:rPr>
          <w:rFonts w:ascii="Arial" w:cs="Arial" w:eastAsia="Arial" w:hAnsi="Arial"/>
          <w:sz w:val="16"/>
          <w:szCs w:val="16"/>
          <w:b w:val="1"/>
          <w:bCs w:val="1"/>
          <w:color w:val="auto"/>
        </w:rPr>
      </w:pPr>
    </w:p>
    <w:p>
      <w:pPr>
        <w:jc w:val="both"/>
        <w:ind w:lef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made the second $10 million payment of the amended Pilot Mining Test Agreement (“PMTA”) on April 25, 2022, upon successful completion of the North Sea drive test on March 25, 2022. The third and final $10 million will be payable upon successful completion of the pilot trial of the Pilot Mining Test System (“PMTS”) in NORI Area D. Completion of the pilot trial of the PMTS and third and final payment is expected to occur in the fourth quarter of 2022.</w:t>
      </w:r>
    </w:p>
    <w:p>
      <w:pPr>
        <w:spacing w:after="0" w:line="186" w:lineRule="exact"/>
        <w:rPr>
          <w:rFonts w:ascii="Arial" w:cs="Arial" w:eastAsia="Arial" w:hAnsi="Arial"/>
          <w:sz w:val="16"/>
          <w:szCs w:val="16"/>
          <w:b w:val="1"/>
          <w:bCs w:val="1"/>
          <w:color w:val="auto"/>
        </w:rPr>
      </w:pPr>
    </w:p>
    <w:p>
      <w:pPr>
        <w:jc w:val="both"/>
        <w:ind w:left="34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Total cost recorded as exploration and evaluation expenses for the PMTS during the three and six months ended June 30, 2022 amounted to $1.3 million and $2.6 million, respectively (three and six months ended June 30, 2021 amounted to $nil). The Company has not recorded a liability for the third payment as at June 30, 2022.</w:t>
      </w:r>
    </w:p>
    <w:p>
      <w:pPr>
        <w:spacing w:after="0" w:line="183" w:lineRule="exact"/>
        <w:rPr>
          <w:rFonts w:ascii="Arial" w:cs="Arial" w:eastAsia="Arial" w:hAnsi="Arial"/>
          <w:sz w:val="16"/>
          <w:szCs w:val="16"/>
          <w:b w:val="1"/>
          <w:bCs w:val="1"/>
          <w:color w:val="auto"/>
        </w:rPr>
      </w:pPr>
    </w:p>
    <w:p>
      <w:pPr>
        <w:jc w:val="both"/>
        <w:ind w:lef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86" w:lineRule="exact"/>
        <w:rPr>
          <w:rFonts w:ascii="Arial" w:cs="Arial" w:eastAsia="Arial" w:hAnsi="Arial"/>
          <w:sz w:val="16"/>
          <w:szCs w:val="16"/>
          <w:b w:val="1"/>
          <w:bCs w:val="1"/>
          <w:color w:val="auto"/>
        </w:rPr>
      </w:pPr>
    </w:p>
    <w:p>
      <w:pPr>
        <w:ind w:lef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at June 30, 2022, Allseas owned 17.2 million TMC common shares (December 31, 2021 – 16.2 million TMC common shares) which constituted 7.6% (December 31, 2021 – 7.2%) of total common shares outstanding.</w:t>
      </w:r>
    </w:p>
    <w:p>
      <w:pPr>
        <w:spacing w:after="0" w:line="16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Exploration and Evaluation Expenses</w:t>
      </w:r>
    </w:p>
    <w:p>
      <w:pPr>
        <w:spacing w:after="0" w:line="229"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The detail of exploration and evaluation expenses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For the three months ended June 30, 2022</w:t>
            </w: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Agreement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Exploration labor</w:t>
            </w: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Offshore campaigns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 consulting</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Travel, workshop and other</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39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For the three months ended June 30, 2021</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(Restated)</w:t>
            </w: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Agreement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Exploration labor</w:t>
            </w: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Offshore campaigns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6,992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 consulting</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Travel, workshop and other</w:t>
            </w:r>
          </w:p>
        </w:tc>
        <w:tc>
          <w:tcPr>
            <w:tcW w:w="1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For the six months ended June 30, 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Exploration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Agreement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Exploration labor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Offshore campaigns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 consulting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Travel, workshop and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13,898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1,768</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17,328</w:t>
            </w:r>
          </w:p>
        </w:tc>
        <w:tc>
          <w:tcPr>
            <w:tcW w:w="0" w:type="dxa"/>
            <w:vAlign w:val="bottom"/>
          </w:tcPr>
          <w:p>
            <w:pPr>
              <w:spacing w:after="0"/>
              <w:rPr>
                <w:sz w:val="1"/>
                <w:szCs w:val="1"/>
                <w:color w:val="auto"/>
              </w:rPr>
            </w:pPr>
          </w:p>
        </w:tc>
      </w:tr>
      <w:tr>
        <w:trPr>
          <w:trHeight w:val="34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For the six months ended June 30, 2021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rPr>
              <w:t>Exploration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3"/>
              </w:rPr>
              <w:t>Exploration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(Restated)</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Agreement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Exploration labor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Offshore campaigns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23,654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 consulting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Travel, workshop and other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37,490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56,333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the initial public offering (“Private Warrants”) as part of the Business Combination.</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Warrants</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June 30, 2022, 15,000,000 (December 31, 2021 - 15,000,000) Public Warrants were outstanding. Public Warrants may only be exercised for a whole number of shares.</w:t>
      </w:r>
    </w:p>
    <w:p>
      <w:pPr>
        <w:spacing w:after="0" w:line="170"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October 7, 2021, the Company filed a Registration Statement on Form S-1 with respect to the common shares underlying the Public Warrants, as well as the Private Warrants, which was declared effective by the SEC on October 22, 2021. Following the Company’s filing of its Annual Report on Form 10-K for the year ended December 31, 2021, the Company has filed a post-effective amendment to the Registration Statement on Form S-1, which was declared effective by the SEC on July 12, 2022.</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at June 30, 2022, the value of outstanding Public Warrants of $19.5 million was recorded in additional paid in capital.</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Private Warrants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at June 30, 2022, 9,500,000 Private Warrants were outstanding (December 31, 2021 - 9,500,000).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at June 30, 2022, the fair value of outstanding Private Warrants of $2.6 million is recorded as warrants liability. The following table presents the changes in the fair value of warrants liability:</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Private</w:t>
            </w:r>
          </w:p>
        </w:tc>
      </w:tr>
      <w:tr>
        <w:trPr>
          <w:trHeight w:val="234"/>
        </w:trPr>
        <w:tc>
          <w:tcPr>
            <w:tcW w:w="7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Warrants</w:t>
            </w: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liability as at December 31, 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16"/>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Decrease in fair value of warrants liability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Warrants liability as at June 30,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2,584</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at June 30, 2022 and December 31, 2021, the fair value of the Private Warrants was estimated using the following assumptions:</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0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Share price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95.11 %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64.6 %</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Term</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4.2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4.7 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Dividend yield</w:t>
            </w: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There were no exercises or redemptions of the Public Warrants or Private Warrants during the three and six months ended June 30, 2022.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Allseas Warrants</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Warrants upon successful completion of the pilot trial of the PMTS in the NORI Area D. No expense or liability has been recorded as at and for the three and six months ended June 30, 2022.</w:t>
      </w:r>
    </w:p>
    <w:p>
      <w:pPr>
        <w:spacing w:after="0" w:line="20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As at June 30, 2022, there were 15,475,638 stock options outstanding under the Company’s Short-Term Incentive Plan (“STIP”) and 9,783,922 stock options outstanding under the Company’s Long-Term Incentive Plan (“LTIP”). During the three and six months ended June 30, 2022, 18,461 STIP stock options were exercised and no new options were granted.</w:t>
      </w:r>
    </w:p>
    <w:p>
      <w:pPr>
        <w:spacing w:after="0" w:line="16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During the three and six months ended June 30, 2022, the Company recognized $3.6 million and $7.4 million respectively (three and six months ended June 30, 2021 - $15.4 million and $45.8 million, respectively) of share-based compensation expense for stock options in the statement of loss and comprehensive loss. For the three and six months ended June 30, 2022 a total of $1.9 million and $3.9 million respectively, was recorded in exploration and evaluation expenses (three and six months ended June 30, 2021 - $9.5 million and $27.6 million, respectively). The amount recorded in general and administration expenses for three and six months ended June 30, 2022 was $1.7 million and $3.5 million respectively (three and six months ended June 31, 2021 - $5.9 million and $18.2 million respectively).</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details of RSUs granted during the three and six months ended June 30, 2022 are described below.</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780" w:type="dxa"/>
            <w:vAlign w:val="bottom"/>
          </w:tcPr>
          <w:p>
            <w:pPr>
              <w:spacing w:after="0"/>
              <w:rPr>
                <w:sz w:val="20"/>
                <w:szCs w:val="20"/>
                <w:color w:val="auto"/>
              </w:rPr>
            </w:pPr>
            <w:r>
              <w:rPr>
                <w:rFonts w:ascii="Arial" w:cs="Arial" w:eastAsia="Arial" w:hAnsi="Arial"/>
                <w:sz w:val="14"/>
                <w:szCs w:val="14"/>
                <w:b w:val="1"/>
                <w:bCs w:val="1"/>
                <w:color w:val="auto"/>
              </w:rPr>
              <w:t>Vesting Period</w:t>
            </w:r>
          </w:p>
        </w:tc>
        <w:tc>
          <w:tcPr>
            <w:tcW w:w="2740" w:type="dxa"/>
            <w:vAlign w:val="bottom"/>
            <w:gridSpan w:val="5"/>
          </w:tcPr>
          <w:p>
            <w:pPr>
              <w:ind w:left="800"/>
              <w:spacing w:after="0"/>
              <w:rPr>
                <w:sz w:val="20"/>
                <w:szCs w:val="20"/>
                <w:color w:val="auto"/>
              </w:rPr>
            </w:pPr>
            <w:r>
              <w:rPr>
                <w:rFonts w:ascii="Arial" w:cs="Arial" w:eastAsia="Arial" w:hAnsi="Arial"/>
                <w:sz w:val="14"/>
                <w:szCs w:val="14"/>
                <w:b w:val="1"/>
                <w:bCs w:val="1"/>
                <w:color w:val="auto"/>
                <w:w w:val="97"/>
              </w:rPr>
              <w:t>Three months ended June 30,</w:t>
            </w: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47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r>
      <w:tr>
        <w:trPr>
          <w:trHeight w:val="425"/>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Vesting Immediately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255,749</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1,713,153</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Vesting in thirds on each anniversary of the grant date</w:t>
            </w:r>
          </w:p>
        </w:tc>
        <w:tc>
          <w:tcPr>
            <w:tcW w:w="8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369,394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Vesting in fourths on each anniversary of the grant date</w:t>
            </w:r>
          </w:p>
        </w:tc>
        <w:tc>
          <w:tcPr>
            <w:tcW w:w="8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Vesting fully on the anniversary of the grant date</w:t>
            </w:r>
          </w:p>
        </w:tc>
        <w:tc>
          <w:tcPr>
            <w:tcW w:w="8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476,189</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476,189</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Out of the 1,713,153 units vesting immediately on grant date, 1,072,572 units were issued to settle liabilities with a carrying amount of $1.8 million at a weighted average grant date fair value of $1.75 per RSU.</w:t>
      </w:r>
    </w:p>
    <w:p>
      <w:pPr>
        <w:spacing w:after="0" w:line="170" w:lineRule="exact"/>
        <w:rPr>
          <w:sz w:val="20"/>
          <w:szCs w:val="20"/>
          <w:color w:val="auto"/>
        </w:rPr>
      </w:pPr>
    </w:p>
    <w:p>
      <w:pPr>
        <w:jc w:val="both"/>
        <w:ind w:left="380"/>
        <w:spacing w:after="0" w:line="311" w:lineRule="auto"/>
        <w:rPr>
          <w:sz w:val="20"/>
          <w:szCs w:val="20"/>
          <w:color w:val="auto"/>
        </w:rPr>
      </w:pPr>
      <w:r>
        <w:rPr>
          <w:rFonts w:ascii="Arial" w:cs="Arial" w:eastAsia="Arial" w:hAnsi="Arial"/>
          <w:sz w:val="16"/>
          <w:szCs w:val="16"/>
          <w:color w:val="auto"/>
        </w:rPr>
        <w:t>During the three and six months ended June 30, 2022, an aggregate of 476,189 RSUs were granted to the Company’s non-employee directors under the Company’s Non-employee Director Compensation Policy, which vest upon the Company’s 2023 annual shareholders meeting. The total fair value of units granted as annual grants to the non-employee directors amounted to $700,000.</w:t>
      </w:r>
    </w:p>
    <w:p>
      <w:pPr>
        <w:spacing w:after="0" w:line="149" w:lineRule="exact"/>
        <w:rPr>
          <w:sz w:val="20"/>
          <w:szCs w:val="20"/>
          <w:color w:val="auto"/>
        </w:rPr>
      </w:pPr>
    </w:p>
    <w:p>
      <w:pPr>
        <w:jc w:val="both"/>
        <w:ind w:left="380"/>
        <w:spacing w:after="0" w:line="254" w:lineRule="auto"/>
        <w:rPr>
          <w:sz w:val="20"/>
          <w:szCs w:val="20"/>
          <w:color w:val="auto"/>
        </w:rPr>
      </w:pPr>
      <w:r>
        <w:rPr>
          <w:rFonts w:ascii="Arial" w:cs="Arial" w:eastAsia="Arial" w:hAnsi="Arial"/>
          <w:sz w:val="18"/>
          <w:szCs w:val="18"/>
          <w:color w:val="auto"/>
        </w:rPr>
        <w:t>During the three and six months ended June 30, 2022, a total of $2.1 million and $4.0 million respectively (three and six months ended June 30, 2021 - $nil) was charged to the statement of loss and comprehensive loss as share-based compensation expense for RSUs. For the three and six months ended June 30, 2022, a total of $1 million and $1.9 million respectively, was recorded in exploration and evaluation expenses (three and six months ended June 30, 2021 - nil). The amount recorded in general and administration expenses for three and six months ended June 30, 2022 was $1.1 million and $2.1 million respectively (three and six months ended June 31, 2021 -$nil). As at June 30, 2022, total unrecognized share-based compensation expense for RSUs was $10.6 million (December 31, 2021 - $12.3 million).</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Employee Share Purchase Plan</w:t>
      </w:r>
    </w:p>
    <w:p>
      <w:pPr>
        <w:spacing w:after="0" w:line="225"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On May 31, 2022, TMC’s 2021 Employee Share Purchase Plan was approved at the Company’s 2022 annual shareholders meeting, including the approval of the issuance of up to 5,254,324 common shares under the ESPP. This included 2,254,324 shares added to the ESPP in January 2022 pursuant to the ESPP’s annual increase provision. As per the annual increase provision on the first day of each of the Company’s fiscal years after 2022, common shares equal to the lesser of (i) 1% percent of the common shares outstanding on the last day of the immediately preceding fiscal year, or (ii) such lesser number of shares as is determined by the Board will be added to the ESPP.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Participation in the ESPP is available to all full-time and certain part-time employees.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end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plan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ESPP includes the following limitations:</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employee’s contribution is limited to 15% of the employee’s annual gross earnings, not to exceed $25,000 per year,</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employee’s purchases in any offering period cannot exceed 15,000 common shares,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employee’s purchases are capped, not to exceed 5% of the Company’s total outstanding common shares</w:t>
      </w:r>
    </w:p>
    <w:p>
      <w:pPr>
        <w:spacing w:after="0" w:line="211" w:lineRule="exact"/>
        <w:rPr>
          <w:sz w:val="20"/>
          <w:szCs w:val="20"/>
          <w:color w:val="auto"/>
        </w:rPr>
      </w:pPr>
    </w:p>
    <w:p>
      <w:pPr>
        <w:jc w:val="both"/>
        <w:ind w:left="380"/>
        <w:spacing w:after="0" w:line="279" w:lineRule="auto"/>
        <w:rPr>
          <w:sz w:val="20"/>
          <w:szCs w:val="20"/>
          <w:color w:val="auto"/>
        </w:rPr>
      </w:pPr>
      <w:r>
        <w:rPr>
          <w:rFonts w:ascii="Arial" w:cs="Arial" w:eastAsia="Arial" w:hAnsi="Arial"/>
          <w:sz w:val="17"/>
          <w:szCs w:val="17"/>
          <w:color w:val="auto"/>
        </w:rPr>
        <w:t>During the three and six months ended June 30, 2022, a total of $23 thousand was charged to the condensed consolidated statement of loss and comprehensive loss out of which a total of $8 thousand was recorded in exploration and evaluation expenses and $15 thousand was recorded in general and administration expenses. The Company issued 42,426 common shares to its employees as part of its ESPP program during the three and six months ended June 30, 2022.</w:t>
      </w:r>
    </w:p>
    <w:p>
      <w:pPr>
        <w:spacing w:after="0" w:line="16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Six months ended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7"/>
              </w:rPr>
              <w:t>Six months ended</w:t>
            </w:r>
          </w:p>
        </w:tc>
      </w:tr>
      <w:tr>
        <w:trPr>
          <w:trHeight w:val="149"/>
        </w:trPr>
        <w:tc>
          <w:tcPr>
            <w:tcW w:w="682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June 30,</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68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25,259,560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25,287,670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Outstanding RSUs</w:t>
            </w:r>
          </w:p>
        </w:tc>
        <w:tc>
          <w:tcPr>
            <w:tcW w:w="1140" w:type="dxa"/>
            <w:vAlign w:val="bottom"/>
          </w:tcPr>
          <w:p>
            <w:pPr>
              <w:jc w:val="right"/>
              <w:spacing w:after="0"/>
              <w:rPr>
                <w:sz w:val="20"/>
                <w:szCs w:val="20"/>
                <w:color w:val="auto"/>
              </w:rPr>
            </w:pPr>
            <w:r>
              <w:rPr>
                <w:rFonts w:ascii="Arial" w:cs="Arial" w:eastAsia="Arial" w:hAnsi="Arial"/>
                <w:sz w:val="18"/>
                <w:szCs w:val="18"/>
                <w:color w:val="auto"/>
              </w:rPr>
              <w:t>5,262,330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under ESPP</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Outstanding 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36,078,620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Outstanding Special Shares and options to purchase Special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136,239,964</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anti-dilutive common equivalent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202,854,320</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25,287,670</w:t>
            </w:r>
          </w:p>
        </w:tc>
      </w:tr>
    </w:tbl>
    <w:p>
      <w:pPr>
        <w:spacing w:after="0" w:line="2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Company’s subsidiary, DeepGreen Engineering Pte. Ltd., is engaged in a consulting agreement with SSCS Pte. Ltd. (“SSCS”) to manage offshore engineering studies. A director of DGE is employed through SSCS. Consulting services during the three and six months ended June 30, 2022 totaled $69 thousand and $138 thousand (three and six months ended June 30, 2021 - $64 thousand and $138 thousand respectively) out of which for three and six months ended June 30, 2022 a total of $55 thousand $110 thousand, respectively (three and six months ended June 30, 2021 - $51 thousand and $110 thousand, respectively) is disclosed as exploration labor within exploration and evaluation expenses (Note 4) and $14 thousand and $28 thousand respectively for three and six months ended June 30, 2022 is disclosed as general and administration expenses (three and six months ended June 30, 2021 - $13 thousand and $28 thousand respectively). As at June 30, 2022, the amount payable to SSCS was $49 thousand (December 31, 2021 - $23 thousand).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Company’s Chief Ocean Scientist provides consulting services to the Company through Ocean Renaissance LLC (“Ocean Renaissance”) where he is a principal. Consulting services during the three and six months ended June 30, 2022 amounted to $94 thousand and $188 thousand respectively (three and six months ended June 30, 2021 -$94 thousand and $188 thousand), evenly apportioned between exploration and evaluation expenses (Note 4) and general and administration expenses for three and six months ended June 30, 2022 and June 30, 2021. As at June 30, 2022, the amount payable to Ocean Renaissance was $nil (December 31, 2021 - $nil).</w:t>
      </w:r>
    </w:p>
    <w:p>
      <w:pPr>
        <w:spacing w:after="0" w:line="188" w:lineRule="exact"/>
        <w:rPr>
          <w:sz w:val="20"/>
          <w:szCs w:val="20"/>
          <w:color w:val="auto"/>
        </w:rPr>
      </w:pPr>
    </w:p>
    <w:p>
      <w:pPr>
        <w:ind w:left="340" w:right="6440" w:hanging="332"/>
        <w:spacing w:after="0" w:line="532" w:lineRule="auto"/>
        <w:tabs>
          <w:tab w:leader="none" w:pos="34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Contingent Liabilities </w:t>
      </w:r>
      <w:r>
        <w:rPr>
          <w:rFonts w:ascii="Arial" w:cs="Arial" w:eastAsia="Arial" w:hAnsi="Arial"/>
          <w:sz w:val="17"/>
          <w:szCs w:val="17"/>
          <w:b w:val="1"/>
          <w:bCs w:val="1"/>
          <w:i w:val="1"/>
          <w:iCs w:val="1"/>
          <w:color w:val="auto"/>
        </w:rPr>
        <w:t>NORI Exploration Contract</w:t>
      </w:r>
    </w:p>
    <w:p>
      <w:pPr>
        <w:spacing w:after="0" w:line="1" w:lineRule="exact"/>
        <w:rPr>
          <w:rFonts w:ascii="Arial" w:cs="Arial" w:eastAsia="Arial" w:hAnsi="Arial"/>
          <w:sz w:val="17"/>
          <w:szCs w:val="17"/>
          <w:b w:val="1"/>
          <w:bCs w:val="1"/>
          <w:color w:val="auto"/>
        </w:rPr>
      </w:pPr>
    </w:p>
    <w:p>
      <w:pPr>
        <w:jc w:val="both"/>
        <w:ind w:left="3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As part of the NORI Exploration Contract with the ISA, NORI submitted a periodic review report to the ISA in 2021, covering the 2017-2021 period. NORI had committed to spend $5 million over the five-year period from 2017 to 2021, which it has exceeded.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0"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Marawa Exploration Contract</w:t>
      </w:r>
    </w:p>
    <w:p>
      <w:pPr>
        <w:spacing w:after="0" w:line="225" w:lineRule="exact"/>
        <w:rPr>
          <w:rFonts w:ascii="Arial" w:cs="Arial" w:eastAsia="Arial" w:hAnsi="Arial"/>
          <w:sz w:val="17"/>
          <w:szCs w:val="17"/>
          <w:b w:val="1"/>
          <w:bCs w:val="1"/>
          <w:color w:val="auto"/>
        </w:rPr>
      </w:pPr>
    </w:p>
    <w:p>
      <w:pPr>
        <w:jc w:val="both"/>
        <w:ind w:left="34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Through DGE’s Marawa Option Agreement and Services Agreement with Marawa with respect to the Marawa Area, Marawa and DGE committed to spend a defined amount of funds on exploration activities on an annual basis. The commitment for fiscal 2022, 2023 and 2024 is Australian dollar (“AUD”) $1 million, AUD $3 million and AUD $2 million, respectively. Such commitment is negotiated with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85"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TOML Exploration Contract</w:t>
      </w:r>
    </w:p>
    <w:p>
      <w:pPr>
        <w:spacing w:after="0" w:line="225" w:lineRule="exact"/>
        <w:rPr>
          <w:rFonts w:ascii="Arial" w:cs="Arial" w:eastAsia="Arial" w:hAnsi="Arial"/>
          <w:sz w:val="17"/>
          <w:szCs w:val="17"/>
          <w:b w:val="1"/>
          <w:bCs w:val="1"/>
          <w:color w:val="auto"/>
        </w:rPr>
      </w:pPr>
    </w:p>
    <w:p>
      <w:pPr>
        <w:jc w:val="both"/>
        <w:ind w:left="34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76" w:lineRule="exact"/>
        <w:rPr>
          <w:rFonts w:ascii="Arial" w:cs="Arial" w:eastAsia="Arial" w:hAnsi="Arial"/>
          <w:sz w:val="17"/>
          <w:szCs w:val="17"/>
          <w:b w:val="1"/>
          <w:bCs w:val="1"/>
          <w:color w:val="auto"/>
        </w:rPr>
      </w:pPr>
    </w:p>
    <w:p>
      <w:pPr>
        <w:jc w:val="both"/>
        <w:ind w:left="34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Company has spent approximately $13.3 million in connection with the TOML Exploration Contract from 2017 to 2021. Discussions with the ISA are underway to review the progress achieved to date and agree on program activities for the next 5-years, at which point the next five-year commitment will be finalized.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Liability</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 xml:space="preserve">On October 28, 2021, a shareholder filed a putative class action against the Company and certain of its executives in federal district court for the Eastern District of New York, styled </w:t>
      </w:r>
      <w:r>
        <w:rPr>
          <w:rFonts w:ascii="Arial" w:cs="Arial" w:eastAsia="Arial" w:hAnsi="Arial"/>
          <w:sz w:val="16"/>
          <w:szCs w:val="16"/>
          <w:i w:val="1"/>
          <w:iCs w:val="1"/>
          <w:color w:val="auto"/>
        </w:rPr>
        <w:t>Caper v. TMC The Metals Company Inc. F/K/A Sustainable Opportunities</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 Corp., Gerard Barron and Scott Leonard</w:t>
      </w:r>
      <w:r>
        <w:rPr>
          <w:rFonts w:ascii="Arial" w:cs="Arial" w:eastAsia="Arial" w:hAnsi="Arial"/>
          <w:sz w:val="16"/>
          <w:szCs w:val="16"/>
          <w:color w:val="auto"/>
        </w:rPr>
        <w:t>. The complaint alleges that all defendants violated Section 10(b)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Arial" w:cs="Arial" w:eastAsia="Arial" w:hAnsi="Arial"/>
          <w:sz w:val="16"/>
          <w:szCs w:val="16"/>
          <w:i w:val="1"/>
          <w:iCs w:val="1"/>
          <w:color w:val="auto"/>
        </w:rPr>
        <w:t>Tran v. TMC the Metals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 Inc. </w:t>
      </w:r>
      <w:r>
        <w:rPr>
          <w:rFonts w:ascii="Arial" w:cs="Arial" w:eastAsia="Arial" w:hAnsi="Arial"/>
          <w:sz w:val="16"/>
          <w:szCs w:val="16"/>
          <w:color w:val="auto"/>
        </w:rPr>
        <w:t>These cases have been consolidated. On March 6, 2022, a lead plaintiff was selected. An amended complaint was</w:t>
      </w:r>
      <w:r>
        <w:rPr>
          <w:rFonts w:ascii="Arial" w:cs="Arial" w:eastAsia="Arial" w:hAnsi="Arial"/>
          <w:sz w:val="16"/>
          <w:szCs w:val="16"/>
          <w:i w:val="1"/>
          <w:iCs w:val="1"/>
          <w:color w:val="auto"/>
        </w:rPr>
        <w:t xml:space="preserve"> </w:t>
      </w:r>
      <w:r>
        <w:rPr>
          <w:rFonts w:ascii="Arial" w:cs="Arial" w:eastAsia="Arial" w:hAnsi="Arial"/>
          <w:sz w:val="16"/>
          <w:szCs w:val="16"/>
          <w:color w:val="auto"/>
        </w:rPr>
        <w:t>filed on May 12, 2022, reflecting substantially similar allegations. The Company denies any allegations of wrongdoing and the Company has filed and served the plaintiff a motion to dismiss on July 12, 2022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6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179" w:lineRule="exact"/>
        <w:rPr>
          <w:rFonts w:ascii="Arial" w:cs="Arial" w:eastAsia="Arial" w:hAnsi="Arial"/>
          <w:sz w:val="18"/>
          <w:szCs w:val="18"/>
          <w:b w:val="1"/>
          <w:bCs w:val="1"/>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August 15, 2022, the Company announced a private placement financing with 25 accredited investors pursuant to three securities purchase agreements the Company entered into with the investors on August 12, 2022. The Company will issue an aggregate of 37,978,680 common shares to the investors at a price per share of $0.80 ($0.9645 with respect to approximately $100,000 of common shares purchased by the Company’s Chief Executive Officer and Chairman in the private placement financing). The Company expects to receive aggregate gross cash proceeds of approximately $30.4 million this quarter from the private placement and net cash proceeds of approximately $30 million, after deducting placement agent fees and offering expenses. The Company agreed to file a resale registration statement for the common shares issued to the investors in the financing with the SEC on or before September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2021 contained in our 2021 Annual Report on Form 10-K. This discussion contains forward looking statements and involves numerous risks and uncertainties, including, but not limited to, those described in “Risk Factors” in Item 1A of Part I of the 2021 Annual Report on Form 10-K, as updated and supplemented under the caption “Risk Factors” in Item 1A of Part II of this Quarterly Report on Form 10-Q, as further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and six months ended June 30, 2022 and 2021, respectively, present the financial position and results of operations of TMC the metals company Inc. and its consolidated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key strategic alliances with (i) Allseas Group S.A. (“Allseas”), a leading global offshore contractor, which is developing a pilot collection system, which is expected to be modified into an initial smaller-scale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(Glencore subsidiary) facilities and bench-scale hydrometallurgical refining work is being carried out with SGS SA. The near-zero solid waste flowsheet provides a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 Together with Epsilon Carbon, we have recently selected a suitable plant site in India and developed and issued a Request for Proposal for Project Zero Pre-feasibility and Feasibility Study.</w:t>
      </w:r>
    </w:p>
    <w:p>
      <w:pPr>
        <w:spacing w:after="0" w:line="1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currently focused on applying for our first exploitation contract from the ISA on the NORI Area D contract area and, subject to regulatory review by the ISA, intend to start commercial production in 2024. To reach our objective,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16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Second Quarter 2022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some of the major developments that occurred in the second quarter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Pilot Collection System Trials: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Atlantic Deepwater Trials: </w:t>
      </w:r>
      <w:r>
        <w:rPr>
          <w:rFonts w:ascii="Arial" w:cs="Arial" w:eastAsia="Arial" w:hAnsi="Arial"/>
          <w:sz w:val="18"/>
          <w:szCs w:val="18"/>
          <w:color w:val="auto"/>
        </w:rPr>
        <w:t>In May 2022, the pilot collector vehicle underwent extensive testing of its various pumps and</w:t>
      </w:r>
      <w:r>
        <w:rPr>
          <w:rFonts w:ascii="Arial" w:cs="Arial" w:eastAsia="Arial" w:hAnsi="Arial"/>
          <w:sz w:val="18"/>
          <w:szCs w:val="18"/>
          <w:b w:val="1"/>
          <w:bCs w:val="1"/>
          <w:color w:val="auto"/>
        </w:rPr>
        <w:t xml:space="preserve"> </w:t>
      </w:r>
      <w:r>
        <w:rPr>
          <w:rFonts w:ascii="Arial" w:cs="Arial" w:eastAsia="Arial" w:hAnsi="Arial"/>
          <w:sz w:val="18"/>
          <w:szCs w:val="18"/>
          <w:color w:val="auto"/>
        </w:rPr>
        <w:t>critical mobility functions in ultra-deep water in the Atlantic Ocean. Engineers successfully lowered the collector vehicle to depths of 2,470 meters and drove 1,018 meters across the seafloor, in advance of pilot trials in the NORI Area D in the CCZ expected in the second half of 2022.</w:t>
      </w:r>
    </w:p>
    <w:p>
      <w:pPr>
        <w:spacing w:after="0" w:line="179"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Riser &amp; Jumper Trials: </w:t>
      </w:r>
      <w:r>
        <w:rPr>
          <w:rFonts w:ascii="Arial" w:cs="Arial" w:eastAsia="Arial" w:hAnsi="Arial"/>
          <w:sz w:val="18"/>
          <w:szCs w:val="18"/>
          <w:color w:val="auto"/>
        </w:rPr>
        <w:t>In May 2022, the pilot riser system and jumper hose was successfully deployed in the Atlantic Ocean.</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Engineers aboard the Hidden Gem deployed the flexible jumper hose, connected it to the base of the riser and then launched the pilot riser, lowering the assembly to a depth of around 650 meters before making a sub-sea connection between the jumper hose and collector vehicle in 745 meters water depth.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Onshore Processing:</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SINTEF Manganese Study: </w:t>
      </w:r>
      <w:r>
        <w:rPr>
          <w:rFonts w:ascii="Arial" w:cs="Arial" w:eastAsia="Arial" w:hAnsi="Arial"/>
          <w:sz w:val="18"/>
          <w:szCs w:val="18"/>
          <w:color w:val="auto"/>
        </w:rPr>
        <w:t>In May 2022, we announced that we had retained SINTEF, one of Europe’s leading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institutions, to analyze our manganese silicate product that can be used to produce silicomanganese alloy for steelmaking. SINTEF found that our high-grade nodule-derived manganese silicate, which we estimate could account for approximately one third of potential future revenues, behaves similarly to traditional land-based manganese sources and appears to have significant advantages on cost and carbon dioxide footprint, with the potential for 7 to 17% higher value-in-use, depending on carbon tax regimes.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Impact Report 2021: </w:t>
      </w:r>
      <w:r>
        <w:rPr>
          <w:rFonts w:ascii="Arial" w:cs="Arial" w:eastAsia="Arial" w:hAnsi="Arial"/>
          <w:sz w:val="18"/>
          <w:szCs w:val="18"/>
          <w:color w:val="auto"/>
        </w:rPr>
        <w:t>In May 2022, we published our inaugural Impact Report setting out our motivations for collecting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and providing a forward-looking view of the potential environmental impacts of our expected operations and the efforts underway to potentially eliminate or reduce them.</w:t>
      </w:r>
    </w:p>
    <w:p>
      <w:pPr>
        <w:spacing w:after="0" w:line="175"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Independent Lifecycle Impact Assessment of NORI Area D Project: </w:t>
      </w:r>
      <w:r>
        <w:rPr>
          <w:rFonts w:ascii="Arial" w:cs="Arial" w:eastAsia="Arial" w:hAnsi="Arial"/>
          <w:sz w:val="16"/>
          <w:szCs w:val="16"/>
          <w:color w:val="auto"/>
        </w:rPr>
        <w:t>In April 2022, we announced that we chose the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lithium-ion battery supply chain research firm, Benchmark Mineral Intelligence (“Benchmark”), to conduct an independent lifecycle assessment of the environmental impacts of our planned NORI Area D polymetallic nodule project and compare these impacts to producing the same metals from commonly used production pathways using conventional land ores. Benchmark anticipates completing its comprehensive Lifecycle Impact Assessment for us by the end of the third quarter of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Subsequent to June 30, 2022</w:t>
      </w:r>
    </w:p>
    <w:p>
      <w:pPr>
        <w:spacing w:after="0" w:line="225" w:lineRule="exact"/>
        <w:rPr>
          <w:sz w:val="20"/>
          <w:szCs w:val="20"/>
          <w:color w:val="auto"/>
        </w:rPr>
      </w:pPr>
    </w:p>
    <w:p>
      <w:pPr>
        <w:jc w:val="both"/>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Project Zero Research</w:t>
      </w:r>
      <w:r>
        <w:rPr>
          <w:rFonts w:ascii="Arial" w:cs="Arial" w:eastAsia="Arial" w:hAnsi="Arial"/>
          <w:sz w:val="18"/>
          <w:szCs w:val="18"/>
          <w:color w:val="auto"/>
        </w:rPr>
        <w:t>: In July, our Australian subsidiary entered into a research funding agreement with a consortium of</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led by Australia’s Commonwealth Scientific Industrial Research Organization (CSIRO) to create a framework for the development of an ecosystem-based Environmental Management and Monitoring Plan (EMMP) for our proposed deep-sea polymetallic nodule collection operations in the CCZ.</w:t>
      </w:r>
    </w:p>
    <w:p>
      <w:pPr>
        <w:spacing w:after="0" w:line="179"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NORI Collector Test Environmental Impact Statement (EIS): </w:t>
      </w:r>
      <w:r>
        <w:rPr>
          <w:rFonts w:ascii="Arial" w:cs="Arial" w:eastAsia="Arial" w:hAnsi="Arial"/>
          <w:sz w:val="16"/>
          <w:szCs w:val="16"/>
          <w:color w:val="auto"/>
        </w:rPr>
        <w:t>The Legal and Technical Commission (the “LTC”) reviewed</w:t>
      </w:r>
      <w:r>
        <w:rPr>
          <w:rFonts w:ascii="Arial" w:cs="Arial" w:eastAsia="Arial" w:hAnsi="Arial"/>
          <w:sz w:val="16"/>
          <w:szCs w:val="16"/>
          <w:b w:val="1"/>
          <w:bCs w:val="1"/>
          <w:color w:val="auto"/>
        </w:rPr>
        <w:t xml:space="preserve"> </w:t>
      </w:r>
      <w:r>
        <w:rPr>
          <w:rFonts w:ascii="Arial" w:cs="Arial" w:eastAsia="Arial" w:hAnsi="Arial"/>
          <w:sz w:val="16"/>
          <w:szCs w:val="16"/>
          <w:color w:val="auto"/>
        </w:rPr>
        <w:t>the EIS submitted to the ISA as part of NORI’s program to undertake a test of the collector system during their July 2022 meeting and provided their comments to NORI on July 15, 2022. The LTC noted that while the generic framework and spatial components of the monitoring program described in the EMMP were good, the monitoring program lacked sufficient detail on the overall sampling design and integrated environmental monitoring specifications that the LTC needs to adequately evaluate the accuracy and statistical reliability of the EIS and the Monitoring Plan. As such, the LTC decided that it was unable to recommend to the Secretary-General of the Authority that the EIS be included in the program of activities of NORI until NORI provided more detail on its proposed survey design, the level of benthic sediment plume monitoring, pelagic sampling of biological impacts of the plume discharge, temporal issues of survey timing and duration, and the extent of noise monitoring. NORI submitted its responses to the LTC on July 29, 2022 and it is under review by the LTC. We continue to expect that the planned collector test in the CCZ will commence in the third quarter of 2022, as initially planned.</w:t>
      </w:r>
    </w:p>
    <w:p>
      <w:pPr>
        <w:spacing w:after="0" w:line="163"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PIPE Financing: </w:t>
      </w:r>
      <w:r>
        <w:rPr>
          <w:rFonts w:ascii="Arial" w:cs="Arial" w:eastAsia="Arial" w:hAnsi="Arial"/>
          <w:sz w:val="17"/>
          <w:szCs w:val="17"/>
          <w:color w:val="auto"/>
        </w:rPr>
        <w:t>On August 15, 2022, we announced a private placement financing with 25 accredited investors,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three securities purchase agreements the Company entered into with the investors on August 12, 2022. We will issue an aggregate of 37,978,680 common shares to the investors at a price per share of $0.80 ($0.9645 with respect to approximately $100,000 of common shares purchased by our Chief Executive Officer and Chairman in the private placement financing). The Company expects to receive aggregate gross cash proceeds of approximately $30.4 million this quarter from the private placement and net proceeds of approximately $30 million, after deducting placement agent fees and offering expenses. The Company agreed to file a resale registration statement for the common shares issued to the investors in the financing with the SEC on or before September 16,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 fees).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7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color w:val="auto"/>
        </w:rPr>
        <w:t>NORI, our wholly-owned subsidiary, was granted a polymetallic nodule exploration contract in the CCZ by the ISA on July 22, 2011 under the sponsorship of Nauru. This Exploration Contract provides NORI with exclusive rights to explore for polymetallic nodules in an area covering 74,830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Marawa, an entity owned and sponsored by Kiribati, was granted the Marawa Exploration Contract on May 30, 2012. DGE, our wholly-owned subsidiary, entered into agreements with Marawa and Kiribati which provide DGE with exclusive exploration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TOML, our wholly-owned subsidiary, was granted an exploration contract on January 11, 2012 by the ISA and sponsored by the Kingdom of Tonga pursuant to the TOML Exploration Contract . TOML was acquired by us on March 31, 2020 for $32 million from Deep Sea Mining Finance Ltd. (“DSMF”). The TOML Exploration Contract provides TOML with exclusive rights to explore for polymetallic nodules in an area covering 74,713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 Item 1A of Part I of the 2021 Annual Report on Form 10-K, as updated and supplemented under the caption “</w:t>
      </w:r>
      <w:r>
        <w:rPr>
          <w:rFonts w:ascii="Arial" w:cs="Arial" w:eastAsia="Arial" w:hAnsi="Arial"/>
          <w:sz w:val="16"/>
          <w:szCs w:val="16"/>
          <w:i w:val="1"/>
          <w:iCs w:val="1"/>
          <w:color w:val="auto"/>
        </w:rPr>
        <w:t>Risk Factors</w:t>
      </w:r>
      <w:r>
        <w:rPr>
          <w:rFonts w:ascii="Arial" w:cs="Arial" w:eastAsia="Arial" w:hAnsi="Arial"/>
          <w:sz w:val="16"/>
          <w:szCs w:val="16"/>
          <w:color w:val="auto"/>
        </w:rPr>
        <w:t>” in Item 1A of Part II of this Quarterly Report on Form 10-Q, as further updated and/or supplemented in subsequent filings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Global Inflation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pre-revenue company, persistent inflation may affect our ultimate cash requirements prior to our ability to begin commercial production.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2022, the global inflation rate has risen sharply. Marine fuel prices and vessel day rates are higher year-over-year and have increased our exploration expenses beyond what we had originally expected. Additionally, we are experiencing higher offshore labor costs through our contractors due to an upturn in the offshore oil and gas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Climate Change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committed to adopting the Task Force on Climate-Related Financial Disclosures recommendations. In our first inaugural impact report published in May 2022, we provided climate-related disclosures and shared how we believe our mission is aligned with supporting a clean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on climate change and create value.</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climate related transition risks and opportunities are likely to be driven by changes in regulation, public policy, and technology, as disclosed in our 2021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During the second quarter of 2022, active work comprised the deep-water test of the collector system as well test deployment of the riser system and test connection of the jumper hose to the collector test all deployed by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These tests were all completed successfully without any COVID outbreaks given the pre-departure COVID protocols that Allseas implemented. At the end of the second quarter,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was steaming from the Atlantic to the west coast of North America to commence mobilization for the collector test which is planned to commence in the third quarter 2022.</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 Item 1A of Part I of the 2021 Annual Report on Form 10-K, as updated and supplemented under the caption “Risk Factors” in Item 1A of Part II of this Quarterly Report on Form 10-Q, as further updated and/or supplemented in subsequent filings with the SEC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Quarterly Financial Statements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disclosed in our 2021 Annual Report on Form 10-K, we have restated our financial statements as of and for the three and six-months period ended June 30, 2021 in the accompanying unaudited condensed consolidated financial statements included in this Quarterly Report on Form 10-Q.</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restatement resulted from the following items: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invoices for exploration expenses were not appropriately accrued as of June 30, 2021, resulting in a $2.7 million understatement of each of exploration expenses and accounts payable and accrued liabilities as of and for the six-month period ended June 30, 2021; and</w:t>
      </w:r>
    </w:p>
    <w:p>
      <w:pPr>
        <w:spacing w:after="0" w:line="183"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expensing of options granted in the first quarter of 2021 under the Company’s Short-Term Incentive Plan (“STIP”) based on the grantee’s historical start date with us rather than the grant date of the options on March 4, 2021, as required by US Generally Accepted Accounting Principles (“US GAAP”), resulting in a $1.8 million overstatement of stock-based compensation expenses as of and for the three-month period ended March 31, 2021, and $0.3 million understatement and $1.5 million overstatement of stock-based compensation expenses as of and for the six month period ended June 30,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an exploration-stage company with no revenue to date and a net loss of $12.4 million and $33.5 million for the three and six months ended June 30, 2022, respectively, compared to a net loss of $29.1 million and $84.9 million in the same periods of 2021, respectively. We have an accumulated deficit of approximately $337.7 million from inception through June 30, 2022.</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we have not generated any revenue. We do not expect to generate revenue until at least 2025 and only if NORI receives an exploitation contract from the ISA and we are able to successfully collect polymetallic nodules and process the nodules into saleable products on a commercial scale. Any revenue from initial production is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 the first half of 2021 resulted from our financing transactions, specifically the convertible debentures issued in February 2021, which accrued interest at 7% per annum. The convertible debentures were fully converted into DeepGreen common shares on September 9, 2021. Interest income recorded in the first half of 2022 resulted from the interest earned on the funds we received from the Business Combination which closed in September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foreign exchange income or loss for the periods reported primarily relates to our cash held in Canadian dollars and to the settlement of costs incurred in foreign currencies, depending on either the strengthening or weakening of the U.S. dollar.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is a discussion of our results of operations for the three and six months ended June 30, 2022 and 2021. Our accounting policies are described in Note 3 “Summary of Significant Accounting Policies” in our financial statements filed as part of the 2021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as noted)</w:t>
            </w:r>
          </w:p>
        </w:tc>
        <w:tc>
          <w:tcPr>
            <w:tcW w:w="120" w:type="dxa"/>
            <w:vAlign w:val="bottom"/>
          </w:tcPr>
          <w:p>
            <w:pPr>
              <w:spacing w:after="0"/>
              <w:rPr>
                <w:sz w:val="14"/>
                <w:szCs w:val="14"/>
                <w:color w:val="auto"/>
              </w:rPr>
            </w:pPr>
          </w:p>
        </w:tc>
        <w:tc>
          <w:tcPr>
            <w:tcW w:w="2560" w:type="dxa"/>
            <w:vAlign w:val="bottom"/>
            <w:gridSpan w:val="6"/>
          </w:tcPr>
          <w:p>
            <w:pPr>
              <w:jc w:val="center"/>
              <w:ind w:right="248"/>
              <w:spacing w:after="0"/>
              <w:rPr>
                <w:sz w:val="20"/>
                <w:szCs w:val="20"/>
                <w:color w:val="auto"/>
              </w:rPr>
            </w:pPr>
            <w:r>
              <w:rPr>
                <w:rFonts w:ascii="Arial" w:cs="Arial" w:eastAsia="Arial" w:hAnsi="Arial"/>
                <w:sz w:val="14"/>
                <w:szCs w:val="14"/>
                <w:b w:val="1"/>
                <w:bCs w:val="1"/>
                <w:color w:val="auto"/>
                <w:w w:val="94"/>
              </w:rPr>
              <w:t>For the Three Months Ended</w:t>
            </w:r>
          </w:p>
        </w:tc>
        <w:tc>
          <w:tcPr>
            <w:tcW w:w="80" w:type="dxa"/>
            <w:vAlign w:val="bottom"/>
          </w:tcPr>
          <w:p>
            <w:pPr>
              <w:spacing w:after="0"/>
              <w:rPr>
                <w:sz w:val="14"/>
                <w:szCs w:val="14"/>
                <w:color w:val="auto"/>
              </w:rPr>
            </w:pPr>
          </w:p>
        </w:tc>
        <w:tc>
          <w:tcPr>
            <w:tcW w:w="2600" w:type="dxa"/>
            <w:vAlign w:val="bottom"/>
            <w:gridSpan w:val="6"/>
          </w:tcPr>
          <w:p>
            <w:pPr>
              <w:jc w:val="center"/>
              <w:ind w:right="68"/>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(Restated)</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7"/>
              </w:rPr>
              <w:t>% Change</w:t>
            </w:r>
          </w:p>
        </w:tc>
        <w:tc>
          <w:tcPr>
            <w:tcW w:w="78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c>
          <w:tcPr>
            <w:tcW w:w="8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and evaluation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$ 18,226</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$ 17,328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$ 56,333</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10,440</w:t>
            </w:r>
          </w:p>
        </w:tc>
        <w:tc>
          <w:tcPr>
            <w:tcW w:w="140" w:type="dxa"/>
            <w:vAlign w:val="bottom"/>
          </w:tcPr>
          <w:p>
            <w:pPr>
              <w:spacing w:after="0"/>
              <w:rPr>
                <w:sz w:val="18"/>
                <w:szCs w:val="18"/>
                <w:color w:val="auto"/>
              </w:rPr>
            </w:pPr>
          </w:p>
        </w:tc>
        <w:tc>
          <w:tcPr>
            <w:tcW w:w="940" w:type="dxa"/>
            <w:vAlign w:val="bottom"/>
            <w:gridSpan w:val="2"/>
          </w:tcPr>
          <w:p>
            <w:pPr>
              <w:jc w:val="right"/>
              <w:ind w:right="28"/>
              <w:spacing w:after="0" w:line="216" w:lineRule="exact"/>
              <w:rPr>
                <w:sz w:val="20"/>
                <w:szCs w:val="20"/>
                <w:color w:val="auto"/>
              </w:rPr>
            </w:pPr>
            <w:r>
              <w:rPr>
                <w:rFonts w:ascii="Arial" w:cs="Arial" w:eastAsia="Arial" w:hAnsi="Arial"/>
                <w:sz w:val="16"/>
                <w:szCs w:val="16"/>
                <w:color w:val="auto"/>
              </w:rPr>
              <w:t>(20)</w:t>
            </w:r>
            <w:r>
              <w:rPr>
                <w:rFonts w:ascii="Arial" w:cs="Arial" w:eastAsia="Arial" w:hAnsi="Arial"/>
                <w:sz w:val="25"/>
                <w:szCs w:val="25"/>
                <w:color w:val="auto"/>
                <w:vertAlign w:val="subscript"/>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16,907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27,804</w:t>
            </w:r>
          </w:p>
        </w:tc>
        <w:tc>
          <w:tcPr>
            <w:tcW w:w="140" w:type="dxa"/>
            <w:vAlign w:val="bottom"/>
          </w:tcPr>
          <w:p>
            <w:pPr>
              <w:spacing w:after="0"/>
              <w:rPr>
                <w:sz w:val="18"/>
                <w:szCs w:val="18"/>
                <w:color w:val="auto"/>
              </w:rPr>
            </w:pPr>
          </w:p>
        </w:tc>
        <w:tc>
          <w:tcPr>
            <w:tcW w:w="88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(39)</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liability</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(5,730)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N/A</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940" w:type="dxa"/>
            <w:vAlign w:val="bottom"/>
            <w:gridSpan w:val="2"/>
          </w:tcPr>
          <w:p>
            <w:pPr>
              <w:jc w:val="right"/>
              <w:ind w:right="28"/>
              <w:spacing w:after="0" w:line="216" w:lineRule="exact"/>
              <w:rPr>
                <w:sz w:val="20"/>
                <w:szCs w:val="20"/>
                <w:color w:val="auto"/>
              </w:rPr>
            </w:pPr>
            <w:r>
              <w:rPr>
                <w:rFonts w:ascii="Arial" w:cs="Arial" w:eastAsia="Arial" w:hAnsi="Arial"/>
                <w:sz w:val="16"/>
                <w:szCs w:val="16"/>
                <w:color w:val="auto"/>
              </w:rPr>
              <w:t>(167)</w:t>
            </w:r>
            <w:r>
              <w:rPr>
                <w:rFonts w:ascii="Arial" w:cs="Arial" w:eastAsia="Arial" w:hAnsi="Arial"/>
                <w:sz w:val="25"/>
                <w:szCs w:val="25"/>
                <w:color w:val="auto"/>
                <w:vertAlign w:val="subscript"/>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88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(100)</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
              <w:spacing w:after="0" w:line="216" w:lineRule="exact"/>
              <w:rPr>
                <w:sz w:val="20"/>
                <w:szCs w:val="20"/>
                <w:color w:val="auto"/>
              </w:rPr>
            </w:pPr>
            <w:r>
              <w:rPr>
                <w:rFonts w:ascii="Arial" w:cs="Arial" w:eastAsia="Arial" w:hAnsi="Arial"/>
                <w:sz w:val="16"/>
                <w:szCs w:val="16"/>
                <w:color w:val="auto"/>
              </w:rPr>
              <w:t>(144)</w:t>
            </w:r>
            <w:r>
              <w:rPr>
                <w:rFonts w:ascii="Arial" w:cs="Arial" w:eastAsia="Arial" w:hAnsi="Arial"/>
                <w:sz w:val="25"/>
                <w:szCs w:val="25"/>
                <w:color w:val="auto"/>
                <w:vertAlign w:val="subscript"/>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(129)</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Loss for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12,384</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$ 29,140</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$ 33,501</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$ 84,850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30"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a net loss of $12.4 million in the second quarter of 2022, compared to $29.1 million in the same period of 2021. The following explains the major reasons for the reduction in the net loss in the second quarter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Exploration and evaluation expenses for the three months ended June 30, 2022 were $10.0 million, compared to $18.2 million for the same period in 2021. The decrease of $8.2 million was primarily due a decrease in offshore campaign costs of $4.5 million, due to the completion of the NORI Area D baseline campaigns in the fourth quarter of 2021 and a reduction in share-based compensation of $6.5 million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Work on the PMTS progressed in the second quarter of 2022 resulting in increased PMTS expenses of $1.3 million, which partially offset the above expense reductions.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G&amp;A expenses for the three months ended June 30, 2022 were $8.3 million compared to $10.4 million for the same period in 2021. The decrease of $2.1 million in G&amp;A expenses was mainly the result of lower share-based compensation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This decrease was partially offset by higher G&amp;A expenses in the second quarter of 2022, reflecting an increase in personnel, legal and other expenses associated with being a public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fair value of warrants liability during the second quarter of 2022 resulted in a credit of $5.7 million. The credit was primarily due to a 67% decrease in the price of our warrants in the second quarter of 2022. The warrants liability was initially recorded as part of the Business Combination and therefore did not exist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a net loss of $33.5 million in the first half of 2022, compared to $84.9 million in the same period of 2021. The following explains the major reasons for the reduction in the net loss in the first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Exploration and evaluation expenses for the six months ended June 30, 2022 were $17.3 million, compared to $56.3 million for the same period in 2021. The decrease of $39 million was primarily due to a decrease in offshore campaign costs of $20.9 million, due to the completion of the NORI Area D baseline campaigns in the fourth quarter of 2021. The first half of 2021 offshore campaign costs included a fair value increase of $12.2 million that was recognized on the issuance of DeepGreen common shares to Maersk Supply Service A/S (“Maersk”). The decrease in the first half of 2022 also reflects a reduction in share-based compensation of $21.7 million, as a significant number of stock options were awarded in March 2021, in recognition of past services and in anticipation of the Business Combination, while no stock options were awarded in the first half of 2022. Work on the PMTS progressed in the first half of 2022 resulting in increased PMTS expenses of $2.6 million, which partially offset the above expense reductions.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G&amp;A expenses for the six months ended June 30, 2022 were $16.9 million compared to $27.8 million for the same period in 2021. The decrease of $10.9 million in G&amp;A expenses in the first half of 2022 was mainly the result of lower share-based compensation in the 2022 period as the first half of 2021 included the award of a significant number of stock options in recognition of past services and in anticipation of the Business Combination. This decrease was partially offset by higher G&amp;A expenses in the first half of 2022, reflecting an increase in personnel, legal and other expenses associated with being a public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fair value of warrants liability during the first half of 2022 resulted in a credit of $0.5 million. The credit was primarily due to a 28% decrease in the price of our warrants in the first half of 2022. The warrants liability was initially recorded as part of the Business Combination and therefore did not exist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$137.6 million ($104.5 million net of transaction fees). As of June 30, 2022, we had cash on hand of $46.3 million.</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received lower than expected cash proceeds upon closing of the Business Combination resulting from higher-than-expected redemptions of SOAC’s Class A ordinary shares and the default by certain PIPE investors in their funding obligations in connection with the closing of the Business Combination. As a result, we revised our work plan to focus on activities necessary to have an application ready for submission to the ISA in the second half of 2023 for an exploitation contract for the NORI Area D and stopped and/or deferred work and expenses associated with other activities.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if at all.</w:t>
      </w:r>
    </w:p>
    <w:p>
      <w:pPr>
        <w:spacing w:after="0" w:line="1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expect to incur significant expenses and operating losses for the foreseeable future, particularly as we advance towards our application to the ISA for an exploitation contract and preparation for potential commercialization. Based on our cash balance, including the expected proceeds from the financing we announced in August 2022,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and we may need cash resources in this period in addition to the recently announced financing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8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we will need and expect to seek additional financing to fund our operations beyond the next twelve months and to reach potential commercial production through additional public or private equity, debt financings, equity-linked financings or other sources, including through non-dilutive asset- or project-based financings. If these financing or other financing sources are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Six Months Ended June 30, 2022 and June 30,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For the Three Months Ended</w:t>
            </w:r>
          </w:p>
        </w:tc>
        <w:tc>
          <w:tcPr>
            <w:tcW w:w="18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532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2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5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 Restated</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2021 Restated</w:t>
            </w:r>
          </w:p>
        </w:tc>
        <w:tc>
          <w:tcPr>
            <w:tcW w:w="2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(17,945)</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(3,842)</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20" w:type="dxa"/>
            <w:vAlign w:val="bottom"/>
          </w:tcPr>
          <w:p>
            <w:pPr>
              <w:spacing w:after="0"/>
              <w:rPr>
                <w:sz w:val="18"/>
                <w:szCs w:val="18"/>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8"/>
                <w:szCs w:val="18"/>
                <w:color w:val="auto"/>
              </w:rPr>
              <w:t>(Decrease) increase in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(38,585)</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2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used in operating activities for the six months ended June 30, 2022 was $38.1 million, attributable to a net loss of $33.5 million and an increase in net operating assets and liabilities of $17.0 million, partially offset by non-cash adjustments of $12.4 million. Non-cash adjustments primarily consisted of $12.7 million of expenses settled with share-based payments, partially offset by $0.5 million related to the decrease in the fair value of the Private Warrants, mainly as a result of the decrease in our share price during the first half of 2022. The increase in our net operating assets and liabilities was primarily due to a $15.9 million decrease in accounts payable and accrued liabilities in the 2022 period due to the timing of supplier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2022 was $0.3 million for the purchase of equipment, as compared to $3.8 million in the first half of 2021, which related to the initial payments made to DSMF in connection with our acquisition of TOML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for the six months ended June 30, 2022 was nil, compared to $28.6 million provided by financing activities in the first half of 2021, which consisted of $26.0 million from the issuance of convertible debentures in February 2021 and $2.6 million from the exercise of incentive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15, 2022, we announced a private placement financing with 25 accredited investors, including our Chief Executive Officer and Chairman Gerard Barron and ERAS Capital LLC, which is the investment fund of our director Andrei Karkar. Pursuant to three securities purchase agreements we entered into on August 12, 2022, we will issue an aggregate of 37,978,680 common shares to the investors at a price per share of $0.80 ($0.9645 with respect to approximately $100,000 of common shares purchased by our Chief Executive Officer and Chairman in the private placement financing, which was the consolidated closing bid price of the common shares on August 11, 2022). The Company expects to receive aggregate gross cash proceeds of approximately $30.4 million from the private placement this quarter and net cash proceeds of approximately $30 million, after deducting placement agent fees and offering expenses. The Company agreed to file a resale registration statement for the common shares issued to the investors in the financing with the SEC on or before September 16,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part of the NORI Exploration Contract with the ISA, NORI submitted a periodic review report to the ISA in 2021, covering the 2017-2021 period. The periodic review report included a summary of work completed over the previous 5-year period (2017 to 2021) and a work plan and estimated budget for the next five-year period (2022 to 2026). NORI had committed to spend approximately $5 million to deliver on its intended work plan from 2017 to 2021, which it has significantly exceeded.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through the issuance of the Company’s shares.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our progress to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between Marawa and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 The ISA is currently reviewing the periodic report, which includes the next 5-year program of work, at which point the next five-year commitment will be finalized.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will pay an administration fee each year to Tonga for such administration and sponsorship, which is subject to review and increase in the event TOML is granted an ISA exploitation contract. On September 23, 2021, Tonga updated the TOML Sponsorship Agreement harmonizing the terms of its engagement with TOML with those held by NORI with Nauru.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March 16, 2022, NORI and Allseas entered into a non-binding term sheet for the development and operation of a commercial nodule collection system. The pilot nodule collection system developed and currently being tested by Allseas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Hidden Gem,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made the second $10 million payment to Allseas under the PMTA on April 25, 2022, following the successful completion of the North Sea drive test. The third and final $10 million payment to Allseas will be due upon successful completion of the pilot trial of the PMTS in NORI Area D which is expected in the fourth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2021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3 to the condensed consolidated interim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through at least the end of the 2022 fiscal year and we expect to continue to take advantage of the benefits of the extended transition period at least to the end of the 2022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NORI Initial Assessment and TOML Mineral Resource Statement do not include the conversion of mineral resources to mineral reserves.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to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(the “2020 Annual Report on Form 10-K/A”) and (ii) the other material weakness described below that we are in the process of remediating, our disclosure controls and procedures were not effective as of June 30,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with the SEC on November 15, 2021. These misstatements resulted in the Company having to restate its unaudited condensed consolidated interim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as previously disclosed in the 2020 Annual Report on Form 10-K/A,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these material weaknesses, management has concluded that our unaudited condensed consolidated interim financial statements included in this Quarterly Report on Form 10-Q are fairly stated in all material respects in accordance with U.S. GAAP for each of the periods presented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Plan for Remediation of the Material Weaknesses in Internal Control over Financial Reporting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taken the following remediation measures to date:</w:t>
      </w:r>
    </w:p>
    <w:p>
      <w:pPr>
        <w:spacing w:after="0" w:line="225" w:lineRule="exact"/>
        <w:rPr>
          <w:sz w:val="20"/>
          <w:szCs w:val="20"/>
          <w:color w:val="auto"/>
        </w:rPr>
      </w:pPr>
    </w:p>
    <w:p>
      <w:pPr>
        <w:ind w:left="4880" w:right="3260" w:hanging="4548"/>
        <w:spacing w:after="0" w:line="778" w:lineRule="auto"/>
        <w:tabs>
          <w:tab w:leader="none" w:pos="6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completed the transition from our outsourced accounting service provider to our in-house finance and accounting function;</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ind w:left="660" w:right="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performed a thorough analysis of key issues to be addressed, have prioritized these issues and we are now in the process of addressing these issues;</w:t>
      </w: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began a project to design and implement robust controls over all our key processes and address all key company risks; and</w:t>
      </w:r>
    </w:p>
    <w:p>
      <w:pPr>
        <w:spacing w:after="0" w:line="32"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added formality and rigor to our financial reporting process by continuously developing structured roles, policies, processes, procedures and controls.</w:t>
      </w:r>
    </w:p>
    <w:p>
      <w:pPr>
        <w:spacing w:after="0" w:line="18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three and six months ended June 30, 2022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September 20, 2021, we commenced litigation in the New York Superior Court, New York County against two investors who failed to fund their commitments pursuant to subscription agreements entered into in connection with the expected private placement in connection with the closing of the Business Combination. These actions are captioned </w:t>
      </w:r>
      <w:r>
        <w:rPr>
          <w:rFonts w:ascii="Arial" w:cs="Arial" w:eastAsia="Arial" w:hAnsi="Arial"/>
          <w:sz w:val="17"/>
          <w:szCs w:val="17"/>
          <w:i w:val="1"/>
          <w:iCs w:val="1"/>
          <w:color w:val="auto"/>
        </w:rPr>
        <w:t>Sustainable Opportunities Acquisition Corp. n/k/a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TMC the metals company Inc. v. Ethos Fund I, LP, Ethos GP, LLC, Ethos DeepGreen PIPE, LLC, and Ethos Manager, LLC, </w:t>
      </w:r>
      <w:r>
        <w:rPr>
          <w:rFonts w:ascii="Arial" w:cs="Arial" w:eastAsia="Arial" w:hAnsi="Arial"/>
          <w:sz w:val="17"/>
          <w:szCs w:val="17"/>
          <w:color w:val="auto"/>
        </w:rPr>
        <w:t>Index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655527/2021 (N.Y. Sup. Ct.) and </w:t>
      </w:r>
      <w:r>
        <w:rPr>
          <w:rFonts w:ascii="Arial" w:cs="Arial" w:eastAsia="Arial" w:hAnsi="Arial"/>
          <w:sz w:val="17"/>
          <w:szCs w:val="17"/>
          <w:i w:val="1"/>
          <w:iCs w:val="1"/>
          <w:color w:val="auto"/>
        </w:rPr>
        <w:t>Sustainable Opportunities Acquisition Corp. n/k/a TMC the metals company Inc. v. Ramas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LLC</w:t>
      </w:r>
      <w:r>
        <w:rPr>
          <w:rFonts w:ascii="Arial" w:cs="Arial" w:eastAsia="Arial" w:hAnsi="Arial"/>
          <w:sz w:val="17"/>
          <w:szCs w:val="17"/>
          <w:color w:val="auto"/>
        </w:rPr>
        <w:t>,</w:t>
      </w:r>
      <w:r>
        <w:rPr>
          <w:rFonts w:ascii="Arial" w:cs="Arial" w:eastAsia="Arial" w:hAnsi="Arial"/>
          <w:sz w:val="17"/>
          <w:szCs w:val="17"/>
          <w:i w:val="1"/>
          <w:iCs w:val="1"/>
          <w:color w:val="auto"/>
        </w:rPr>
        <w:t xml:space="preserve"> Ramas Energy Opportunities I, LP, Ramas Energy Opportunities I GP, LLC, and Ganesh Betanabhatla</w:t>
      </w:r>
      <w:r>
        <w:rPr>
          <w:rFonts w:ascii="Arial" w:cs="Arial" w:eastAsia="Arial" w:hAnsi="Arial"/>
          <w:sz w:val="17"/>
          <w:szCs w:val="17"/>
          <w:color w:val="auto"/>
        </w:rPr>
        <w:t>, Index No.</w:t>
      </w:r>
      <w:r>
        <w:rPr>
          <w:rFonts w:ascii="Arial" w:cs="Arial" w:eastAsia="Arial" w:hAnsi="Arial"/>
          <w:sz w:val="17"/>
          <w:szCs w:val="17"/>
          <w:i w:val="1"/>
          <w:iCs w:val="1"/>
          <w:color w:val="auto"/>
        </w:rPr>
        <w:t xml:space="preserve"> </w:t>
      </w:r>
      <w:r>
        <w:rPr>
          <w:rFonts w:ascii="Arial" w:cs="Arial" w:eastAsia="Arial" w:hAnsi="Arial"/>
          <w:sz w:val="17"/>
          <w:szCs w:val="17"/>
          <w:color w:val="auto"/>
        </w:rPr>
        <w:t>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On October 28, 2021, a shareholder filed a putative class action against us and certain of our executives in federal district court for the Eastern District of New York, styled </w:t>
      </w:r>
      <w:r>
        <w:rPr>
          <w:rFonts w:ascii="Arial" w:cs="Arial" w:eastAsia="Arial" w:hAnsi="Arial"/>
          <w:sz w:val="17"/>
          <w:szCs w:val="17"/>
          <w:i w:val="1"/>
          <w:iCs w:val="1"/>
          <w:color w:val="auto"/>
        </w:rPr>
        <w:t>Caper v. TMC The Metals Company Inc. F/K/A Sustainable Opportunities Acquisition Corp.,</w:t>
      </w:r>
      <w:r>
        <w:rPr>
          <w:rFonts w:ascii="Arial" w:cs="Arial" w:eastAsia="Arial" w:hAnsi="Arial"/>
          <w:sz w:val="17"/>
          <w:szCs w:val="17"/>
          <w:color w:val="auto"/>
        </w:rPr>
        <w:t xml:space="preserve"> </w:t>
      </w:r>
      <w:r>
        <w:rPr>
          <w:rFonts w:ascii="Arial" w:cs="Arial" w:eastAsia="Arial" w:hAnsi="Arial"/>
          <w:sz w:val="17"/>
          <w:szCs w:val="17"/>
          <w:i w:val="1"/>
          <w:iCs w:val="1"/>
          <w:color w:val="auto"/>
        </w:rPr>
        <w:t>Gerard Barron and Scott Leonard</w:t>
      </w:r>
      <w:r>
        <w:rPr>
          <w:rFonts w:ascii="Arial" w:cs="Arial" w:eastAsia="Arial" w:hAnsi="Arial"/>
          <w:sz w:val="17"/>
          <w:szCs w:val="17"/>
          <w:color w:val="auto"/>
        </w:rPr>
        <w:t>. The complaint alleges that all defendants violated Section 10(b) of the Exchange Act of 1934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Arial" w:cs="Arial" w:eastAsia="Arial" w:hAnsi="Arial"/>
          <w:sz w:val="17"/>
          <w:szCs w:val="17"/>
          <w:i w:val="1"/>
          <w:iCs w:val="1"/>
          <w:color w:val="auto"/>
        </w:rPr>
        <w:t>Tran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TMC the Metals Company, Inc. </w:t>
      </w:r>
      <w:r>
        <w:rPr>
          <w:rFonts w:ascii="Arial" w:cs="Arial" w:eastAsia="Arial" w:hAnsi="Arial"/>
          <w:sz w:val="17"/>
          <w:szCs w:val="17"/>
          <w:color w:val="auto"/>
        </w:rPr>
        <w:t>These cases have been consolidated. On March 6, 2022, a lead plaintiff was selected. An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was filed on May 12, 2022, reflecting substantially similar allegations. We deny any allegations of wrongdoing and have filed and served the plaintiff a motion to dismiss on July 12, 2022 and intend to defend against this lawsuit.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review and consider the information regarding certain factors that could materially affect our business, consolidated financial condition or results of operations set forth under Item 1A. Risk Factors in our 2021 Annual Report on Form 10-K. There have been no material changes from or additions to the risk factors disclosed in our 2021 Annual Report on Form 10-K, other than with respect to the risk factors set forth below. We may disclose changes to risk factors or additional factors from time to time in our future filings with the SEC.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capital intensive, and we will be required to raise additional funds in the future in order to accomplish our objectives. This additional financing may not be available on acceptable terms or at all. Failure to obtain this necessary capital when needed may force us to reduce or terminate our operations.</w:t>
      </w:r>
    </w:p>
    <w:p>
      <w:pPr>
        <w:spacing w:after="0" w:line="18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in order to preserve our capital. We expect to incur significant expenses and operating losses for the foreseeable future, particularly as we advance towards our application to the ISA for an exploitation contract and preparation for potential commercialization. The continuing exploration and development of the NORI, TOML and Marawa contract areas, however, will depend upon our ability to obtain dilutive and/or non-dilutive financing through debt financing, equity financing, joint ventures, or other means. Additionally, the actual amount of capital raised for our projects may vary materially from our current estimates. Although based on our cash balance, including the expected proceeds from the financing we announced in August 2022, we believe we will have sufficient funds to meet our obligations that become due within the next twelve months. If we do not receive the full amount of the expected proceeds from the financing we announced in August 2022, we may not be able to fund our operations for this period and we may need to raise additional funds sooner than expected, which could have an adverse effect on our business and an investment in our company. Even with the financing we announced in August 2022, we currently expect that we will raise additional funds to finance our operations to potential commercialization.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financing may not be available on acceptable terms or at all. Failure to obtain additional financing on a timely basis could cause us to reduce or terminate our operations. Many groups, including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3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 availability may limit our ability to incur indebtedness on favorable terms. Any debt financing or asset- or project-based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which may have an impact on our ability to obtain additional funding.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 including the Nasdaq’s minimum closing bid price.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10, 2021, our common shares and Public Warrants began trading on the Nasdaq Global Select Market under the symbols “TMC” and “TMCWW,” respectively. The Nasdaq has qualitative and quantitative listing criteria. If we are unable to meet any of the Nasdaq listing requirements in the future, including, for example, if the closing bid price for our common shares falls below $1.00 per share for 30 consecutive trading days, Nasdaq could determine to delist our common stock. If in the future Nasdaq delists our common shares from trading on its exchange for failure to meet the listing standards, we and our securityholders could face significant material adverse consequences including:</w:t>
      </w:r>
    </w:p>
    <w:p>
      <w:pPr>
        <w:spacing w:after="0" w:line="192"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deterrent for broker-dealers making a market in or otherwise seeking or generating interest in our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deterrent for certain institutions and persons from investing in our securities at all;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hanging="324"/>
        <w:spacing w:after="0" w:line="255"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closing bid price of our common shares was below the minimum $1.00 per share beginning on July 6, 2022 and has not been above $1.00 per share since. The closing bid price of our common shares on August 12, 2022 was $0.9987 per share. If our common shares do not achieve a closing bid price of at least $1.00 by August 16, 2022, we expect to receive a notification from the Nasdaq Stock Market that for the preceding 30 consecutive trading days, the closing bid price of our common shares was below $1.00 per share.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9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regulatory uncertainties which, if not resolved in our favor, would have a material adverse impact on our business.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6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June 25, 2021, Nauru submitted its notice to the ISA requesting that it complete, by July 9, 2023, the adoption of regulations necessary to review NORI’s plans of work for the commercial exploitation of polymetallic nodules. Although we believe that the notice submitted by Nauru to the ISA has increased the likelihood that regulations will be adopted that will govern and enable commercial development of polymetallic nodules by mid-2023, there can be no assurances that the adoption of these regulations will not be delayed or halted as a result of the actions of other member states in the ISA.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 There can be no assurance that the ISA will provisionally approve our plan of work or that such provisional approval would lead to the issuance of an exploitation contract by the ISA.</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 At the moment, our wholly owned subsidiary NORI has submitted an EIS in respect of the collector test that NORI intends to perform in the CCZ in the third quarter of 2022. NORI has received comments from the ISA requesting additional detail on certain technical matters including overall sampling design and specifications to be provided for the ISA’s review. While NORI submitted its response to the ISA on July 29, 2022, there can be no guarantee that the ISA will complete its review of NORI’s responses in a timely manner or at all. The NORI EIS for the collector test is an integral component of the program of activities required for NORI to complete to be eligible to submit an application for an exploitation contract for approval by the ISA.</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or at all. Even if the ISA timely evaluates such applications(s), our subsidiaries may be required to submit a supplementary EIS or perform additional studies or campaigns before obtaining approval. As such, there is a risk that an ISA Exploitation Contract may not be granted by the ISA, may not be granted on a timely basis, or may be granted on uneconomic terms thereby delaying our potential timeline for commercial exploitation.</w:t>
      </w:r>
    </w:p>
    <w:p>
      <w:pPr>
        <w:spacing w:after="0" w:line="19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control,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6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can be no assurance that we will be able to continue to maintain and develop our existing relationships, or that we will be able to form the new relationships that are required for our business to be successful. For example, our agreement with Maersk to provide marine cruises and management services expired in January 2022, following the completion of the NORI Area D baseline campaigns. We are currently working with a third party to provide a survey vessel previously provided by Maersk and specialized remotely operated vehicles, and autonomous underwater vehicles services required to support the implementation of the collector test monitoring survey planned for 2022 in the NORI Area D. Our work with this third party is ongoing, but there can be no assurance that we will be able to continue to work with this third party, or another third party, on acceptable terms or at all.</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at August 12, 2022, we had 227,158,455 common shares and 24,500,000 warrants to acquire common shares issued and outstanding, which does not include the 37,978,680 common shares issuable in the private placement financing we announced in August 2022.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33,699,685 common shares are reserved for issuance under the TMC Incentive Equity Plan, including 9,017,299 shares added to the plan in January 2022 pursuant to the plan’s evergreen provision, and 5,254,324 common shares are reserved for issuance under our 2021 Employee Stock Purchase Plan,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private placement financing, upon exercise of warrants, upon conversion of the Special Shares or under the TMC Incentive Equity Plan, or the 2021 Employee Stock Purchase Plan or other equity incentive plans that we may adopt in the future, would dilute the percentage ownership held by you.</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issuance of additional common shares or other equity securities of equal or senior rank would have the following effects:</w:t>
      </w:r>
    </w:p>
    <w:p>
      <w:pPr>
        <w:spacing w:after="0" w:line="23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the Company will decrease;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outstanding warrants became exercisable for our common shares beginning on October 9, 2021, which if exercised, will increase the number of shares eligible for future resale in the public market and result in dilution to our shareholders. You will likely experience further dilution if we issue common shares in future financing transactions.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common shares at an exercise price of $11.50 per share. In certain circumstances, the Public Warrants and Private Warrants may be exercised on a cashless basis and the proceeds from the exercise of such warrants will decrease. To the extent such warrants are exercised, additional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to August 12, 2022, the price of our Common Shares has ranged from a high of $12.45 to a low of $0.81 and as of August 12, 2022, the closing price of our Common Shares was $0.9987. Based on the current trading price of our Common Shares we do not expect to receive any proceeds from exercise of the Public Warrants and Private Warrants unless there is a significant increase in the price of our Common Shares.</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August 12, 2022,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 Furthermore, even if the warrants will be in the money following the time they become exercisable, the holders of the warrants are not obligated to exercise their warrants, and we cannot predict whether holders of the warrants will choose to exercise all or any of their warrants.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styled </w:t>
      </w:r>
      <w:r>
        <w:rPr>
          <w:rFonts w:ascii="Arial" w:cs="Arial" w:eastAsia="Arial" w:hAnsi="Arial"/>
          <w:sz w:val="16"/>
          <w:szCs w:val="16"/>
          <w:i w:val="1"/>
          <w:iCs w:val="1"/>
          <w:color w:val="auto"/>
        </w:rPr>
        <w:t>Caper v. TMC The Metals Company Inc. F/K/A</w:t>
      </w:r>
      <w:r>
        <w:rPr>
          <w:rFonts w:ascii="Arial" w:cs="Arial" w:eastAsia="Arial" w:hAnsi="Arial"/>
          <w:sz w:val="16"/>
          <w:szCs w:val="16"/>
          <w:color w:val="auto"/>
        </w:rPr>
        <w:t xml:space="preserve"> </w:t>
      </w:r>
      <w:r>
        <w:rPr>
          <w:rFonts w:ascii="Arial" w:cs="Arial" w:eastAsia="Arial" w:hAnsi="Arial"/>
          <w:sz w:val="16"/>
          <w:szCs w:val="16"/>
          <w:i w:val="1"/>
          <w:iCs w:val="1"/>
          <w:color w:val="auto"/>
        </w:rPr>
        <w:t>Sustainable Opportunities Acquisition Corp., Gerard Barron and Scott Leonard</w:t>
      </w:r>
      <w:r>
        <w:rPr>
          <w:rFonts w:ascii="Arial" w:cs="Arial" w:eastAsia="Arial" w:hAnsi="Arial"/>
          <w:sz w:val="16"/>
          <w:szCs w:val="16"/>
          <w:color w:val="auto"/>
        </w:rPr>
        <w:t>. The complaint alleges that all defendants violated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Arial" w:cs="Arial" w:eastAsia="Arial" w:hAnsi="Arial"/>
          <w:sz w:val="16"/>
          <w:szCs w:val="16"/>
          <w:i w:val="1"/>
          <w:iCs w:val="1"/>
          <w:color w:val="auto"/>
        </w:rPr>
        <w:t>Tran v. TMC the Metals Company, Inc</w:t>
      </w:r>
      <w:r>
        <w:rPr>
          <w:rFonts w:ascii="Arial" w:cs="Arial" w:eastAsia="Arial" w:hAnsi="Arial"/>
          <w:sz w:val="16"/>
          <w:szCs w:val="16"/>
          <w:color w:val="auto"/>
        </w:rPr>
        <w:t>. These cases have been consolidated. On March 6, 2022, a lead plaintiff was selected. An amended complaint was filed on May 12, 2022, reflecting substantially similar allegations. We deny any allegations of wrongdoing and we have filed and served the plaintiff a motion to dismiss on July 12, 2022 and intend to defend against this lawsuit. There is no assurance, however, that we or the other defendants will be successful in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w:t>
      </w:r>
      <w:r>
        <w:rPr>
          <w:rFonts w:ascii="Arial" w:cs="Arial" w:eastAsia="Arial" w:hAnsi="Arial"/>
          <w:sz w:val="17"/>
          <w:szCs w:val="17"/>
          <w:i w:val="1"/>
          <w:iCs w:val="1"/>
          <w:color w:val="auto"/>
        </w:rPr>
        <w:t>Sustainable Opportunities</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 Corp. n/k/a TMC the metals company Inc. v. Ethos Fund I, LP, Ethos GP, LLC, Ethos DeepGreen PIPE, LLC, and Ethos Manager, LLC</w:t>
      </w:r>
      <w:r>
        <w:rPr>
          <w:rFonts w:ascii="Arial" w:cs="Arial" w:eastAsia="Arial" w:hAnsi="Arial"/>
          <w:sz w:val="17"/>
          <w:szCs w:val="17"/>
          <w:color w:val="auto"/>
        </w:rPr>
        <w:t>, Index No. 655527/2021 (N.Y. Sup. Ct.) and</w:t>
      </w:r>
      <w:r>
        <w:rPr>
          <w:rFonts w:ascii="Arial" w:cs="Arial" w:eastAsia="Arial" w:hAnsi="Arial"/>
          <w:sz w:val="17"/>
          <w:szCs w:val="17"/>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Arial" w:cs="Arial" w:eastAsia="Arial" w:hAnsi="Arial"/>
          <w:sz w:val="17"/>
          <w:szCs w:val="17"/>
          <w:color w:val="auto"/>
        </w:rPr>
        <w:t>, Index No. 655528/2021 (N.Y. Sup. Ct.). The operative complaints allege that the investors breached the relevant</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we are not a reporting issuer in Canada, our common shares and Special Shares may be subject to restrictions on resale in Canada.</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offerings held by Canadian Owners will be freely transferable by the Canadian Owners.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did not repurchase any of our equity securities during the three and six months ended June 30, 2022.</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30"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4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Filed</w:t>
            </w: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Incorporated by Reference Herein from Form or</w:t>
            </w: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Filing 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SEC File/ Reg.</w:t>
            </w:r>
          </w:p>
        </w:tc>
        <w:tc>
          <w:tcPr>
            <w:tcW w:w="0" w:type="dxa"/>
            <w:vAlign w:val="bottom"/>
          </w:tcPr>
          <w:p>
            <w:pPr>
              <w:spacing w:after="0"/>
              <w:rPr>
                <w:sz w:val="1"/>
                <w:szCs w:val="1"/>
                <w:color w:val="auto"/>
              </w:rPr>
            </w:pPr>
          </w:p>
        </w:tc>
      </w:tr>
      <w:tr>
        <w:trPr>
          <w:trHeight w:val="17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460" w:type="dxa"/>
            <w:vAlign w:val="bottom"/>
            <w:gridSpan w:val="5"/>
            <w:vMerge w:val="continue"/>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Herewith</w:t>
            </w: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Schedule</w:t>
            </w:r>
          </w:p>
        </w:tc>
        <w:tc>
          <w:tcPr>
            <w:tcW w:w="102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320" w:type="dxa"/>
            <w:vAlign w:val="bottom"/>
            <w:tcBorders>
              <w:top w:val="single" w:sz="8" w:color="auto"/>
              <w:right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p>
        </w:tc>
        <w:tc>
          <w:tcPr>
            <w:tcW w:w="4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gridSpan w:val="4"/>
            <w:shd w:val="clear" w:color="auto" w:fill="CCEEFF"/>
          </w:tcPr>
          <w:p>
            <w:pPr>
              <w:spacing w:after="0" w:line="169" w:lineRule="exact"/>
              <w:rPr>
                <w:sz w:val="20"/>
                <w:szCs w:val="20"/>
                <w:color w:val="auto"/>
              </w:rPr>
            </w:pPr>
            <w:r>
              <w:rPr>
                <w:rFonts w:ascii="Arial" w:cs="Arial" w:eastAsia="Arial" w:hAnsi="Arial"/>
                <w:sz w:val="18"/>
                <w:szCs w:val="18"/>
                <w:color w:val="0000EE"/>
              </w:rPr>
              <w:t>Certification of the Principal</w:t>
            </w: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rPr>
              <w:t>X</w:t>
            </w:r>
          </w:p>
        </w:tc>
        <w:tc>
          <w:tcPr>
            <w:tcW w:w="200" w:type="dxa"/>
            <w:vAlign w:val="bottom"/>
            <w:tcBorders>
              <w:top w:val="single" w:sz="8" w:color="CCEEFF"/>
            </w:tcBorders>
            <w:shd w:val="clear" w:color="auto" w:fill="CCEEFF"/>
          </w:tcPr>
          <w:p>
            <w:pPr>
              <w:spacing w:after="0"/>
              <w:rPr>
                <w:sz w:val="14"/>
                <w:szCs w:val="14"/>
                <w:color w:val="auto"/>
              </w:rPr>
            </w:pPr>
          </w:p>
        </w:tc>
        <w:tc>
          <w:tcPr>
            <w:tcW w:w="31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CCEEFF"/>
            </w:tcBorders>
            <w:gridSpan w:val="2"/>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0000EE"/>
              </w:rPr>
              <w:t>Executive Officer pursuant to</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0000EE"/>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86"/>
              </w:rPr>
              <w:t>Section 302 of the Sarbanes-</w:t>
            </w:r>
          </w:p>
        </w:tc>
        <w:tc>
          <w:tcPr>
            <w:tcW w:w="40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0000EE"/>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rPr>
              <w:t>Oxley Act of 2002</w:t>
            </w:r>
          </w:p>
        </w:tc>
        <w:tc>
          <w:tcPr>
            <w:tcW w:w="40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0" w:type="dxa"/>
            <w:vAlign w:val="bottom"/>
          </w:tcPr>
          <w:p>
            <w:pPr>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spacing w:after="0" w:line="176" w:lineRule="exact"/>
              <w:rPr>
                <w:sz w:val="20"/>
                <w:szCs w:val="20"/>
                <w:color w:val="auto"/>
              </w:rPr>
            </w:pPr>
            <w:r>
              <w:rPr>
                <w:rFonts w:ascii="Arial" w:cs="Arial" w:eastAsia="Arial" w:hAnsi="Arial"/>
                <w:sz w:val="18"/>
                <w:szCs w:val="18"/>
                <w:color w:val="0000EE"/>
              </w:rPr>
              <w:t>Certification of the Principal</w:t>
            </w:r>
          </w:p>
        </w:tc>
        <w:tc>
          <w:tcPr>
            <w:tcW w:w="112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rPr>
              <w:t>X</w:t>
            </w: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Financial Officer pursuant to</w:t>
            </w:r>
          </w:p>
        </w:tc>
        <w:tc>
          <w:tcPr>
            <w:tcW w:w="4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spacing w:after="0" w:line="196" w:lineRule="exact"/>
              <w:rPr>
                <w:sz w:val="20"/>
                <w:szCs w:val="20"/>
                <w:color w:val="auto"/>
              </w:rPr>
            </w:pPr>
            <w:r>
              <w:rPr>
                <w:rFonts w:ascii="Arial" w:cs="Arial" w:eastAsia="Arial" w:hAnsi="Arial"/>
                <w:sz w:val="18"/>
                <w:szCs w:val="18"/>
                <w:color w:val="0000EE"/>
              </w:rPr>
              <w:t>Section 302 of the Sarbanes-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Oxley Act of 2002</w:t>
            </w:r>
          </w:p>
        </w:tc>
        <w:tc>
          <w:tcPr>
            <w:tcW w:w="4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0000EE"/>
              </w:rPr>
              <w:t>32*</w:t>
            </w: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Certifications of the Chief</w:t>
            </w:r>
          </w:p>
        </w:tc>
        <w:tc>
          <w:tcPr>
            <w:tcW w:w="1120" w:type="dxa"/>
            <w:vAlign w:val="bottom"/>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color w:val="auto"/>
              </w:rPr>
              <w:t>X</w:t>
            </w: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CCEEFF"/>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gridSpan w:val="2"/>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0000EE"/>
              </w:rPr>
              <w:t>Executive Officer and Chief</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gridSpan w:val="3"/>
            <w:shd w:val="clear" w:color="auto" w:fill="0000EE"/>
          </w:tcPr>
          <w:p>
            <w:pPr>
              <w:spacing w:after="0" w:line="20" w:lineRule="exact"/>
              <w:rPr>
                <w:sz w:val="1"/>
                <w:szCs w:val="1"/>
                <w:color w:val="auto"/>
              </w:rPr>
            </w:pPr>
          </w:p>
        </w:tc>
        <w:tc>
          <w:tcPr>
            <w:tcW w:w="400" w:type="dxa"/>
            <w:vAlign w:val="bottom"/>
            <w:tcBorders>
              <w:left w:val="single" w:sz="8" w:color="CCEEFF"/>
            </w:tcBorders>
            <w:gridSpan w:val="2"/>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89"/>
              </w:rPr>
              <w:t>Financial Officer pursuant to</w:t>
            </w:r>
          </w:p>
        </w:tc>
        <w:tc>
          <w:tcPr>
            <w:tcW w:w="40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0000EE"/>
              </w:rPr>
              <w:t>Section 906 of the Sarbanes-</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0000EE"/>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rPr>
              <w:t>Oxley Act of 2002</w:t>
            </w:r>
          </w:p>
        </w:tc>
        <w:tc>
          <w:tcPr>
            <w:tcW w:w="40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60" w:type="dxa"/>
            <w:vAlign w:val="bottom"/>
            <w:gridSpan w:val="3"/>
          </w:tcPr>
          <w:p>
            <w:pPr>
              <w:spacing w:after="0" w:line="201" w:lineRule="exact"/>
              <w:rPr>
                <w:sz w:val="20"/>
                <w:szCs w:val="20"/>
                <w:color w:val="auto"/>
              </w:rPr>
            </w:pPr>
            <w:r>
              <w:rPr>
                <w:rFonts w:ascii="Arial" w:cs="Arial" w:eastAsia="Arial" w:hAnsi="Arial"/>
                <w:sz w:val="18"/>
                <w:szCs w:val="18"/>
                <w:color w:val="auto"/>
              </w:rPr>
              <w:t>101.INS</w:t>
            </w:r>
          </w:p>
        </w:tc>
        <w:tc>
          <w:tcPr>
            <w:tcW w:w="2460" w:type="dxa"/>
            <w:vAlign w:val="bottom"/>
            <w:gridSpan w:val="5"/>
          </w:tcPr>
          <w:p>
            <w:pPr>
              <w:spacing w:after="0" w:line="201" w:lineRule="exact"/>
              <w:rPr>
                <w:sz w:val="20"/>
                <w:szCs w:val="20"/>
                <w:color w:val="auto"/>
              </w:rPr>
            </w:pPr>
            <w:r>
              <w:rPr>
                <w:rFonts w:ascii="Arial" w:cs="Arial" w:eastAsia="Arial" w:hAnsi="Arial"/>
                <w:sz w:val="18"/>
                <w:szCs w:val="18"/>
                <w:color w:val="auto"/>
              </w:rPr>
              <w:t>Inline XBRL Instance</w:t>
            </w:r>
          </w:p>
        </w:tc>
        <w:tc>
          <w:tcPr>
            <w:tcW w:w="11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Document (the instance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document does not appear in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the Interactive Data File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because its XBRL tags are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embedded within the Inline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XBRL document)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101.SCH</w:t>
            </w:r>
          </w:p>
        </w:tc>
        <w:tc>
          <w:tcPr>
            <w:tcW w:w="2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w:t>
            </w:r>
          </w:p>
        </w:tc>
        <w:tc>
          <w:tcPr>
            <w:tcW w:w="11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Extension Schema Document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gridSpan w:val="3"/>
          </w:tcPr>
          <w:p>
            <w:pPr>
              <w:spacing w:after="0" w:line="201" w:lineRule="exact"/>
              <w:rPr>
                <w:sz w:val="20"/>
                <w:szCs w:val="20"/>
                <w:color w:val="auto"/>
              </w:rPr>
            </w:pPr>
            <w:r>
              <w:rPr>
                <w:rFonts w:ascii="Arial" w:cs="Arial" w:eastAsia="Arial" w:hAnsi="Arial"/>
                <w:sz w:val="18"/>
                <w:szCs w:val="18"/>
                <w:color w:val="auto"/>
              </w:rPr>
              <w:t>101.CAL</w:t>
            </w:r>
          </w:p>
        </w:tc>
        <w:tc>
          <w:tcPr>
            <w:tcW w:w="2460" w:type="dxa"/>
            <w:vAlign w:val="bottom"/>
            <w:gridSpan w:val="5"/>
          </w:tcPr>
          <w:p>
            <w:pPr>
              <w:spacing w:after="0" w:line="201" w:lineRule="exact"/>
              <w:rPr>
                <w:sz w:val="20"/>
                <w:szCs w:val="20"/>
                <w:color w:val="auto"/>
              </w:rPr>
            </w:pPr>
            <w:r>
              <w:rPr>
                <w:rFonts w:ascii="Arial" w:cs="Arial" w:eastAsia="Arial" w:hAnsi="Arial"/>
                <w:sz w:val="18"/>
                <w:szCs w:val="18"/>
                <w:color w:val="auto"/>
              </w:rPr>
              <w:t>Inline XBRL Taxonomy</w:t>
            </w:r>
          </w:p>
        </w:tc>
        <w:tc>
          <w:tcPr>
            <w:tcW w:w="11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Extension Calculation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2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w:t>
            </w:r>
          </w:p>
        </w:tc>
        <w:tc>
          <w:tcPr>
            <w:tcW w:w="11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Extension Definition Linkbase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Document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gridSpan w:val="3"/>
          </w:tcPr>
          <w:p>
            <w:pPr>
              <w:spacing w:after="0" w:line="201" w:lineRule="exact"/>
              <w:rPr>
                <w:sz w:val="20"/>
                <w:szCs w:val="20"/>
                <w:color w:val="auto"/>
              </w:rPr>
            </w:pPr>
            <w:r>
              <w:rPr>
                <w:rFonts w:ascii="Arial" w:cs="Arial" w:eastAsia="Arial" w:hAnsi="Arial"/>
                <w:sz w:val="18"/>
                <w:szCs w:val="18"/>
                <w:color w:val="auto"/>
              </w:rPr>
              <w:t>101.LAB</w:t>
            </w:r>
          </w:p>
        </w:tc>
        <w:tc>
          <w:tcPr>
            <w:tcW w:w="2460" w:type="dxa"/>
            <w:vAlign w:val="bottom"/>
            <w:gridSpan w:val="5"/>
          </w:tcPr>
          <w:p>
            <w:pPr>
              <w:spacing w:after="0" w:line="201" w:lineRule="exact"/>
              <w:rPr>
                <w:sz w:val="20"/>
                <w:szCs w:val="20"/>
                <w:color w:val="auto"/>
              </w:rPr>
            </w:pPr>
            <w:r>
              <w:rPr>
                <w:rFonts w:ascii="Arial" w:cs="Arial" w:eastAsia="Arial" w:hAnsi="Arial"/>
                <w:sz w:val="18"/>
                <w:szCs w:val="18"/>
                <w:color w:val="auto"/>
              </w:rPr>
              <w:t>Inline XBRL Taxonomy</w:t>
            </w:r>
          </w:p>
        </w:tc>
        <w:tc>
          <w:tcPr>
            <w:tcW w:w="11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Extension Label Linkbase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both"/>
        <w:ind w:firstLine="8"/>
        <w:spacing w:after="0" w:line="279" w:lineRule="auto"/>
        <w:tabs>
          <w:tab w:leader="none" w:pos="1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August 15, 2022</w:t>
            </w:r>
          </w:p>
        </w:tc>
        <w:tc>
          <w:tcPr>
            <w:tcW w:w="3140" w:type="dxa"/>
            <w:vAlign w:val="bottom"/>
          </w:tcPr>
          <w:p>
            <w:pPr>
              <w:ind w:left="2660"/>
              <w:spacing w:after="0"/>
              <w:rPr>
                <w:sz w:val="20"/>
                <w:szCs w:val="20"/>
                <w:color w:val="auto"/>
              </w:rPr>
            </w:pPr>
            <w:r>
              <w:rPr>
                <w:rFonts w:ascii="Arial" w:cs="Arial" w:eastAsia="Arial" w:hAnsi="Arial"/>
                <w:sz w:val="18"/>
                <w:szCs w:val="18"/>
                <w:color w:val="auto"/>
              </w:rPr>
              <w:t>By:</w:t>
            </w:r>
          </w:p>
        </w:tc>
        <w:tc>
          <w:tcPr>
            <w:tcW w:w="3520" w:type="dxa"/>
            <w:vAlign w:val="bottom"/>
            <w:gridSpan w:val="2"/>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32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c>
          <w:tcPr>
            <w:tcW w:w="60" w:type="dxa"/>
            <w:vAlign w:val="bottom"/>
          </w:tcPr>
          <w:p>
            <w:pPr>
              <w:spacing w:after="0"/>
              <w:rPr>
                <w:sz w:val="16"/>
                <w:szCs w:val="16"/>
                <w:color w:val="auto"/>
              </w:rPr>
            </w:pPr>
          </w:p>
        </w:tc>
      </w:tr>
      <w:tr>
        <w:trPr>
          <w:trHeight w:val="230"/>
        </w:trPr>
        <w:tc>
          <w:tcPr>
            <w:tcW w:w="3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August 15, 2022</w:t>
            </w:r>
          </w:p>
        </w:tc>
        <w:tc>
          <w:tcPr>
            <w:tcW w:w="3140" w:type="dxa"/>
            <w:vAlign w:val="bottom"/>
          </w:tcPr>
          <w:p>
            <w:pPr>
              <w:ind w:left="2660"/>
              <w:spacing w:after="0"/>
              <w:rPr>
                <w:sz w:val="20"/>
                <w:szCs w:val="20"/>
                <w:color w:val="auto"/>
              </w:rPr>
            </w:pPr>
            <w:r>
              <w:rPr>
                <w:rFonts w:ascii="Arial" w:cs="Arial" w:eastAsia="Arial" w:hAnsi="Arial"/>
                <w:sz w:val="18"/>
                <w:szCs w:val="18"/>
                <w:color w:val="auto"/>
              </w:rPr>
              <w:t>By:</w:t>
            </w:r>
          </w:p>
        </w:tc>
        <w:tc>
          <w:tcPr>
            <w:tcW w:w="3520" w:type="dxa"/>
            <w:vAlign w:val="bottom"/>
            <w:gridSpan w:val="2"/>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32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Craig Shesky</w:t>
            </w:r>
          </w:p>
        </w:tc>
        <w:tc>
          <w:tcPr>
            <w:tcW w:w="60" w:type="dxa"/>
            <w:vAlign w:val="bottom"/>
          </w:tcPr>
          <w:p>
            <w:pPr>
              <w:spacing w:after="0"/>
              <w:rPr>
                <w:sz w:val="16"/>
                <w:szCs w:val="16"/>
                <w:color w:val="auto"/>
              </w:rPr>
            </w:pPr>
          </w:p>
        </w:tc>
      </w:tr>
      <w:tr>
        <w:trPr>
          <w:trHeight w:val="230"/>
        </w:trPr>
        <w:tc>
          <w:tcPr>
            <w:tcW w:w="3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3260" w:type="dxa"/>
            <w:vAlign w:val="bottom"/>
          </w:tcPr>
          <w:p>
            <w:pPr>
              <w:spacing w:after="0"/>
              <w:rPr>
                <w:sz w:val="24"/>
                <w:szCs w:val="24"/>
                <w:color w:val="auto"/>
              </w:rPr>
            </w:pPr>
          </w:p>
        </w:tc>
        <w:tc>
          <w:tcPr>
            <w:tcW w:w="3140" w:type="dxa"/>
            <w:vAlign w:val="bottom"/>
          </w:tcPr>
          <w:p>
            <w:pPr>
              <w:jc w:val="right"/>
              <w:ind w:right="1250"/>
              <w:spacing w:after="0"/>
              <w:rPr>
                <w:sz w:val="20"/>
                <w:szCs w:val="20"/>
                <w:color w:val="auto"/>
              </w:rPr>
            </w:pPr>
            <w:r>
              <w:rPr>
                <w:rFonts w:ascii="Arial" w:cs="Arial" w:eastAsia="Arial" w:hAnsi="Arial"/>
                <w:sz w:val="18"/>
                <w:szCs w:val="18"/>
                <w:color w:val="auto"/>
              </w:rPr>
              <w:t>46</w:t>
            </w:r>
          </w:p>
        </w:tc>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3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30"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Barron, certify that:</w:t>
      </w:r>
    </w:p>
    <w:p>
      <w:pPr>
        <w:spacing w:after="0" w:line="22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20" w:firstLine="656"/>
        <w:spacing w:after="0" w:line="277"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86" w:lineRule="auto"/>
        <w:tabs>
          <w:tab w:leader="none" w:pos="12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firstLine="656"/>
        <w:spacing w:after="0" w:line="263" w:lineRule="auto"/>
        <w:tabs>
          <w:tab w:leader="none" w:pos="12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jc w:val="both"/>
        <w:ind w:firstLine="656"/>
        <w:spacing w:after="0" w:line="263" w:lineRule="auto"/>
        <w:tabs>
          <w:tab w:leader="none" w:pos="12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firstLine="656"/>
        <w:spacing w:after="0" w:line="277" w:lineRule="auto"/>
        <w:tabs>
          <w:tab w:leader="none" w:pos="12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Craig Shesky, certify that:</w:t>
      </w:r>
    </w:p>
    <w:p>
      <w:pPr>
        <w:spacing w:after="0" w:line="22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20" w:firstLine="656"/>
        <w:spacing w:after="0" w:line="277"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86" w:lineRule="auto"/>
        <w:tabs>
          <w:tab w:leader="none" w:pos="12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firstLine="656"/>
        <w:spacing w:after="0" w:line="263" w:lineRule="auto"/>
        <w:tabs>
          <w:tab w:leader="none" w:pos="12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jc w:val="both"/>
        <w:ind w:firstLine="656"/>
        <w:spacing w:after="0" w:line="263"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firstLine="656"/>
        <w:spacing w:after="0" w:line="277"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Craig Shesky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4"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August 15, 2022</w:t>
      </w:r>
      <w:r>
        <w:rPr>
          <w:sz w:val="20"/>
          <w:szCs w:val="20"/>
          <w:color w:val="auto"/>
        </w:rPr>
        <w:tab/>
      </w:r>
      <w:r>
        <w:rPr>
          <w:rFonts w:ascii="Arial" w:cs="Arial" w:eastAsia="Arial" w:hAnsi="Arial"/>
          <w:sz w:val="16"/>
          <w:szCs w:val="16"/>
          <w:color w:val="auto"/>
        </w:rPr>
        <w:t>/s/ Gerard Barron</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August 15, 2022</w:t>
      </w:r>
      <w:r>
        <w:rPr>
          <w:sz w:val="20"/>
          <w:szCs w:val="20"/>
          <w:color w:val="auto"/>
        </w:rPr>
        <w:tab/>
      </w:r>
      <w:r>
        <w:rPr>
          <w:rFonts w:ascii="Arial" w:cs="Arial" w:eastAsia="Arial" w:hAnsi="Arial"/>
          <w:sz w:val="16"/>
          <w:szCs w:val="16"/>
          <w:color w:val="auto"/>
        </w:rPr>
        <w:t>/s/ Craig Shesky</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2"/>
    </w:lvl>
    <w:lvl w:ilvl="1">
      <w:lvlJc w:val="left"/>
      <w:lvlText w:val="●"/>
      <w:numFmt w:val="bullet"/>
      <w:start w:val="1"/>
    </w:lvl>
  </w:abstractNum>
  <w:abstractNum w:abstractNumId="10">
    <w:nsid w:val="79838CB2"/>
    <w:multiLevelType w:val="hybridMultilevel"/>
    <w:lvl w:ilvl="0">
      <w:lvlJc w:val="left"/>
      <w:lvlText w:val="%1."/>
      <w:numFmt w:val="decimal"/>
      <w:start w:val="3"/>
    </w:lvl>
  </w:abstractNum>
  <w:abstractNum w:abstractNumId="11">
    <w:nsid w:val="4353D0CD"/>
    <w:multiLevelType w:val="hybridMultilevel"/>
    <w:lvl w:ilvl="0">
      <w:lvlJc w:val="left"/>
      <w:lvlText w:val="%1."/>
      <w:numFmt w:val="decimal"/>
      <w:start w:val="4"/>
    </w:lvl>
  </w:abstractNum>
  <w:abstractNum w:abstractNumId="12">
    <w:nsid w:val="B03E0C6"/>
    <w:multiLevelType w:val="hybridMultilevel"/>
    <w:lvl w:ilvl="0">
      <w:lvlJc w:val="left"/>
      <w:lvlText w:val="%1."/>
      <w:numFmt w:val="decimal"/>
      <w:start w:val="5"/>
    </w:lvl>
  </w:abstractNum>
  <w:abstractNum w:abstractNumId="13">
    <w:nsid w:val="189A769B"/>
    <w:multiLevelType w:val="hybridMultilevel"/>
    <w:lvl w:ilvl="0">
      <w:lvlJc w:val="left"/>
      <w:lvlText w:val="%1."/>
      <w:numFmt w:val="decimal"/>
      <w:start w:val="6"/>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7"/>
    </w:lvl>
  </w:abstractNum>
  <w:abstractNum w:abstractNumId="16">
    <w:nsid w:val="2CA88611"/>
    <w:multiLevelType w:val="hybridMultilevel"/>
    <w:lvl w:ilvl="0">
      <w:lvlJc w:val="left"/>
      <w:lvlText w:val="%1."/>
      <w:numFmt w:val="decimal"/>
      <w:start w:val="8"/>
    </w:lvl>
  </w:abstractNum>
  <w:abstractNum w:abstractNumId="17">
    <w:nsid w:val="836C40E"/>
    <w:multiLevelType w:val="hybridMultilevel"/>
    <w:lvl w:ilvl="0">
      <w:lvlJc w:val="left"/>
      <w:lvlText w:val="%1."/>
      <w:numFmt w:val="decimal"/>
      <w:start w:val="9"/>
    </w:lvl>
  </w:abstractNum>
  <w:abstractNum w:abstractNumId="18">
    <w:nsid w:val="2901D82"/>
    <w:multiLevelType w:val="hybridMultilevel"/>
    <w:lvl w:ilvl="0">
      <w:lvlJc w:val="left"/>
      <w:lvlText w:val="%1."/>
      <w:numFmt w:val="decimal"/>
      <w:start w:val="10"/>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5"/>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5"/>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2022-08-15T15:56:38Z</dcterms:created>
  <dcterms:modified xsi:type="dcterms:W3CDTF">2022-08-15T15:56:38Z</dcterms:modified>
</cp:coreProperties>
</file>