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142875</wp:posOffset>
            </wp:positionV>
            <wp:extent cx="190309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no. 2 (this “Supplement”) supplements the prospectus dated July 12, 2022 (the “Prospectus”) relating to the issuance 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of up to an aggregate of 24,500,000 of our common shares, without par value (“Common Shares”), which consists of (i) up to 9,500,000 Common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that are issuable upon the exercise of private placement warrants (the “Private Placement Warrants”) originally issued in a private placement 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initial public offering of our predecessor company, Sustainable Opportunities Acquisition Corp. (“SOAC”), at an exercise price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$11.50 per Common Share, and (ii) up to 15,000,000 Common Shares that are issuable upon the exercise of 15,000,000 warrants issued in connection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of SOAC (the “Public Warrants,” and together with the Private Placement Warrants, the “Warrants”).</w:t>
      </w:r>
    </w:p>
    <w:p>
      <w:pPr>
        <w:spacing w:after="0" w:line="207" w:lineRule="exact"/>
        <w:rPr>
          <w:sz w:val="24"/>
          <w:szCs w:val="24"/>
          <w:color w:val="auto"/>
        </w:rPr>
      </w:pPr>
    </w:p>
    <w:p>
      <w:pPr>
        <w:ind w:right="200"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60" w:firstLine="8"/>
        <w:spacing w:after="0" w:line="250"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former directors, transferees of SOAC’s sponsor, Sustainable Opportunities Holdings LLC (the “Sponsor”), and certain of their transferees (collectively, the “Founder Shares”), (v) 11,030,000 Common Shares issued in the PIPE Financing (as defined in the Prospectus), (vi) 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transferees of the Sponsor and their transferees upon the conversion of Sponsor Earnout Shares (as defined in the Prospects)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873,953 Common Shares issued to certain service providers to DeepGreen.</w:t>
      </w:r>
    </w:p>
    <w:p>
      <w:pPr>
        <w:spacing w:after="0" w:line="207" w:lineRule="exact"/>
        <w:rPr>
          <w:sz w:val="24"/>
          <w:szCs w:val="24"/>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quarterly report on Form 10-Q which was filed with the Securities and Exchange Commission on August 15, 2022.</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August 12, 2022, the closing price of our Common Shares was $1.00 and the closing price for our Public Warrants was $0.13.</w:t>
      </w: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ind w:right="6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386080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471805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1" w:lineRule="exact"/>
        <w:rPr>
          <w:sz w:val="20"/>
          <w:szCs w:val="20"/>
          <w:color w:val="auto"/>
        </w:rPr>
      </w:pPr>
    </w:p>
    <w:p>
      <w:pPr>
        <w:ind w:left="3890" w:right="3600" w:hanging="3890"/>
        <w:spacing w:after="0" w:line="352" w:lineRule="auto"/>
        <w:tabs>
          <w:tab w:leader="none" w:pos="227"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 For the quarterly period ended June 30, 2022</w:t>
      </w:r>
    </w:p>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7" w:lineRule="exact"/>
        <w:rPr>
          <w:sz w:val="20"/>
          <w:szCs w:val="20"/>
          <w:color w:val="auto"/>
        </w:rPr>
      </w:pPr>
    </w:p>
    <w:p>
      <w:pPr>
        <w:ind w:left="210" w:hanging="210"/>
        <w:spacing w:after="0"/>
        <w:tabs>
          <w:tab w:leader="none" w:pos="210" w:val="left"/>
        </w:tabs>
        <w:numPr>
          <w:ilvl w:val="0"/>
          <w:numId w:val="4"/>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3" w:lineRule="exact"/>
        <w:rPr>
          <w:sz w:val="20"/>
          <w:szCs w:val="20"/>
          <w:color w:val="auto"/>
        </w:rPr>
      </w:pPr>
    </w:p>
    <w:p>
      <w:pPr>
        <w:ind w:left="4030"/>
        <w:spacing w:after="0"/>
        <w:tabs>
          <w:tab w:leader="none" w:pos="585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-4445</wp:posOffset>
            </wp:positionV>
            <wp:extent cx="120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-4445</wp:posOffset>
            </wp:positionV>
            <wp:extent cx="120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 w:lineRule="exact"/>
        <w:rPr>
          <w:sz w:val="20"/>
          <w:szCs w:val="20"/>
          <w:color w:val="auto"/>
        </w:rPr>
      </w:pPr>
    </w:p>
    <w:p>
      <w:pPr>
        <w:ind w:left="4110"/>
        <w:spacing w:after="0"/>
        <w:rPr>
          <w:sz w:val="20"/>
          <w:szCs w:val="20"/>
          <w:color w:val="auto"/>
        </w:rPr>
      </w:pPr>
      <w:r>
        <w:rPr>
          <w:rFonts w:ascii="Times New Roman" w:cs="Times New Roman" w:eastAsia="Times New Roman" w:hAnsi="Times New Roman"/>
          <w:sz w:val="13"/>
          <w:szCs w:val="13"/>
          <w:b w:val="1"/>
          <w:bCs w:val="1"/>
          <w:color w:val="auto"/>
        </w:rPr>
        <w:t>Commission File Number: 001-39281</w:t>
      </w:r>
    </w:p>
    <w:p>
      <w:pPr>
        <w:spacing w:after="0" w:line="2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TMC THE METALS COMPANY INC.</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6680" w:type="dxa"/>
            <w:vAlign w:val="bottom"/>
            <w:gridSpan w:val="4"/>
          </w:tcPr>
          <w:p>
            <w:pPr>
              <w:jc w:val="center"/>
              <w:ind w:left="3469"/>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88"/>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2"/>
          </w:tcPr>
          <w:p>
            <w:pPr>
              <w:jc w:val="center"/>
              <w:ind w:right="14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36"/>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595 Howe Street, 10th Floor</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vMerge w:val="restart"/>
          </w:tcPr>
          <w:p>
            <w:pPr>
              <w:jc w:val="center"/>
              <w:ind w:right="1528"/>
              <w:spacing w:after="0"/>
              <w:rPr>
                <w:sz w:val="20"/>
                <w:szCs w:val="20"/>
                <w:color w:val="auto"/>
              </w:rPr>
            </w:pPr>
            <w:r>
              <w:rPr>
                <w:rFonts w:ascii="Times New Roman" w:cs="Times New Roman" w:eastAsia="Times New Roman" w:hAnsi="Times New Roman"/>
                <w:sz w:val="14"/>
                <w:szCs w:val="14"/>
                <w:b w:val="1"/>
                <w:bCs w:val="1"/>
                <w:color w:val="auto"/>
              </w:rPr>
              <w:t>V6C 2T5</w:t>
            </w:r>
          </w:p>
        </w:tc>
        <w:tc>
          <w:tcPr>
            <w:tcW w:w="0" w:type="dxa"/>
            <w:vAlign w:val="bottom"/>
          </w:tcPr>
          <w:p>
            <w:pPr>
              <w:spacing w:after="0"/>
              <w:rPr>
                <w:sz w:val="1"/>
                <w:szCs w:val="1"/>
                <w:color w:val="auto"/>
              </w:rPr>
            </w:pPr>
          </w:p>
        </w:tc>
      </w:tr>
      <w:tr>
        <w:trPr>
          <w:trHeight w:val="151"/>
        </w:trPr>
        <w:tc>
          <w:tcPr>
            <w:tcW w:w="506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Vancouver, British Columbia</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jc w:val="center"/>
              <w:ind w:right="15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76"/>
        </w:trPr>
        <w:tc>
          <w:tcPr>
            <w:tcW w:w="6600" w:type="dxa"/>
            <w:vAlign w:val="bottom"/>
            <w:gridSpan w:val="3"/>
          </w:tcPr>
          <w:p>
            <w:pPr>
              <w:jc w:val="center"/>
              <w:ind w:left="3549"/>
              <w:spacing w:after="0"/>
              <w:rPr>
                <w:sz w:val="20"/>
                <w:szCs w:val="20"/>
                <w:color w:val="auto"/>
              </w:rPr>
            </w:pPr>
            <w:r>
              <w:rPr>
                <w:rFonts w:ascii="Times New Roman" w:cs="Times New Roman" w:eastAsia="Times New Roman" w:hAnsi="Times New Roman"/>
                <w:sz w:val="14"/>
                <w:szCs w:val="14"/>
                <w:b w:val="1"/>
                <w:bCs w:val="1"/>
                <w:color w:val="auto"/>
              </w:rPr>
              <w:t>(574) 252-9333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gridSpan w:val="4"/>
          </w:tcPr>
          <w:p>
            <w:pPr>
              <w:jc w:val="center"/>
              <w:ind w:left="344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80" w:type="dxa"/>
            <w:vAlign w:val="bottom"/>
            <w:gridSpan w:val="4"/>
          </w:tcPr>
          <w:p>
            <w:pPr>
              <w:jc w:val="center"/>
              <w:ind w:left="344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16"/>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08"/>
        </w:trPr>
        <w:tc>
          <w:tcPr>
            <w:tcW w:w="5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TMC</w:t>
            </w:r>
          </w:p>
        </w:tc>
        <w:tc>
          <w:tcPr>
            <w:tcW w:w="10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57"/>
        </w:trPr>
        <w:tc>
          <w:tcPr>
            <w:tcW w:w="5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Redeemable warrants, each whole warrant exercisable for one Common Share, each</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TMCWW</w:t>
            </w:r>
          </w:p>
        </w:tc>
        <w:tc>
          <w:tcPr>
            <w:tcW w:w="100" w:type="dxa"/>
            <w:vAlign w:val="bottom"/>
          </w:tcPr>
          <w:p>
            <w:pPr>
              <w:spacing w:after="0"/>
              <w:rPr>
                <w:sz w:val="22"/>
                <w:szCs w:val="22"/>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5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at an exercise price of $11.50 per share</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jc w:val="both"/>
        <w:ind w:left="10"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0"/>
          <w:szCs w:val="20"/>
          <w:color w:val="auto"/>
        </w:rPr>
      </w:pPr>
    </w:p>
    <w:p>
      <w:pPr>
        <w:jc w:val="both"/>
        <w:ind w:left="10"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0"/>
          <w:szCs w:val="20"/>
          <w:color w:val="auto"/>
        </w:rPr>
      </w:pPr>
    </w:p>
    <w:tbl>
      <w:tblPr>
        <w:tblLayout w:type="fixed"/>
        <w:tblInd w:w="1050" w:type="dxa"/>
        <w:tblCellMar>
          <w:top w:w="0" w:type="dxa"/>
          <w:left w:w="0" w:type="dxa"/>
          <w:bottom w:w="0" w:type="dxa"/>
          <w:right w:w="0" w:type="dxa"/>
        </w:tblCellMar>
      </w:tblPr>
      <w:tr>
        <w:trPr>
          <w:trHeight w:val="181"/>
        </w:trPr>
        <w:tc>
          <w:tcPr>
            <w:tcW w:w="22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30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 w:lineRule="exact"/>
        <w:rPr>
          <w:sz w:val="20"/>
          <w:szCs w:val="20"/>
          <w:color w:val="auto"/>
        </w:rPr>
      </w:pPr>
    </w:p>
    <w:p>
      <w:pPr>
        <w:ind w:left="1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0"/>
          <w:szCs w:val="20"/>
          <w:color w:val="auto"/>
        </w:rPr>
      </w:pPr>
    </w:p>
    <w:p>
      <w:pPr>
        <w:ind w:left="10" w:right="290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12, 2022, the registrant had 227,158,455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497205</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121"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12"/>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TMC THE METALS COMPANY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13"/>
          </w:tcPr>
          <w:p>
            <w:pPr>
              <w:jc w:val="center"/>
              <w:ind w:right="2420"/>
              <w:spacing w:after="0"/>
              <w:rPr>
                <w:sz w:val="20"/>
                <w:szCs w:val="20"/>
                <w:color w:val="auto"/>
              </w:rPr>
            </w:pPr>
            <w:r>
              <w:rPr>
                <w:rFonts w:ascii="Times New Roman" w:cs="Times New Roman" w:eastAsia="Times New Roman" w:hAnsi="Times New Roman"/>
                <w:sz w:val="18"/>
                <w:szCs w:val="18"/>
                <w:color w:val="auto"/>
              </w:rPr>
              <w:t>For the quarterly period ended June 30, 2022</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11"/>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 (Unaudited)</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Loss and Comprehensive Loss for the three and six months</w:t>
            </w:r>
          </w:p>
        </w:tc>
        <w:tc>
          <w:tcPr>
            <w:tcW w:w="64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2022 and 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Equity for the three and six months ended June 30,</w:t>
            </w:r>
          </w:p>
        </w:tc>
        <w:tc>
          <w:tcPr>
            <w:tcW w:w="4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w:t>
            </w:r>
          </w:p>
        </w:tc>
        <w:tc>
          <w:tcPr>
            <w:tcW w:w="4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our ability to continue as a going concern;</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recently announced private placement financing, including the timing of receipt, and amount, of expected proceeds therefrom;</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our plans with respect thereto;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2021 as filed with the SEC on March 25, 2022 (the “2021 Annual Report on Form 10-K”), as updated and supplemented under the caption “Risk Factors” in Item 1A of Part II of this Quarterly Report on Form 10-Q as further updated and/or supplemented in subsequent filings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46,259</w:t>
            </w:r>
          </w:p>
        </w:tc>
        <w:tc>
          <w:tcPr>
            <w:tcW w:w="10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contracts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96,117</w:t>
            </w:r>
          </w:p>
        </w:tc>
        <w:tc>
          <w:tcPr>
            <w:tcW w:w="10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22,448</w:t>
            </w: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227,158,455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2021 – 225,432,493))</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6292215"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419735"/>
                    </a:xfrm>
                    <a:prstGeom prst="rect">
                      <a:avLst/>
                    </a:prstGeom>
                    <a:noFill/>
                  </pic:spPr>
                </pic:pic>
              </a:graphicData>
            </a:graphic>
          </wp:anchor>
        </w:drawing>
      </w:r>
    </w:p>
    <w:p>
      <w:pPr>
        <w:sectPr>
          <w:pgSz w:w="11900" w:h="16838" w:orient="portrait"/>
          <w:cols w:equalWidth="0" w:num="1">
            <w:col w:w="9920"/>
          </w:cols>
          <w:pgMar w:left="980" w:top="513" w:right="999"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8200" w:val="left"/>
          <w:tab w:leader="none" w:pos="9340" w:val="left"/>
        </w:tabs>
        <w:rPr>
          <w:sz w:val="20"/>
          <w:szCs w:val="20"/>
          <w:color w:val="auto"/>
        </w:rPr>
      </w:pPr>
      <w:r>
        <w:rPr>
          <w:rFonts w:ascii="Times New Roman" w:cs="Times New Roman" w:eastAsia="Times New Roman" w:hAnsi="Times New Roman"/>
          <w:sz w:val="18"/>
          <w:szCs w:val="18"/>
          <w:b w:val="1"/>
          <w:bCs w:val="1"/>
          <w:color w:val="auto"/>
        </w:rPr>
        <w:t>TOTAL EQUITY</w:t>
      </w:r>
      <w:r>
        <w:rPr>
          <w:sz w:val="20"/>
          <w:szCs w:val="20"/>
          <w:color w:val="auto"/>
        </w:rPr>
        <w:tab/>
      </w:r>
      <w:r>
        <w:rPr>
          <w:rFonts w:ascii="Times New Roman" w:cs="Times New Roman" w:eastAsia="Times New Roman" w:hAnsi="Times New Roman"/>
          <w:sz w:val="18"/>
          <w:szCs w:val="18"/>
          <w:b w:val="1"/>
          <w:bCs w:val="1"/>
          <w:color w:val="auto"/>
        </w:rPr>
        <w:t>73,669</w:t>
      </w:r>
      <w:r>
        <w:rPr>
          <w:sz w:val="20"/>
          <w:szCs w:val="20"/>
          <w:color w:val="auto"/>
        </w:rPr>
        <w:tab/>
      </w:r>
      <w:r>
        <w:rPr>
          <w:rFonts w:ascii="Times New Roman" w:cs="Times New Roman" w:eastAsia="Times New Roman" w:hAnsi="Times New Roman"/>
          <w:sz w:val="18"/>
          <w:szCs w:val="18"/>
          <w:b w:val="1"/>
          <w:bCs w:val="1"/>
          <w:color w:val="auto"/>
        </w:rPr>
        <w:t>92,751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19685</wp:posOffset>
            </wp:positionV>
            <wp:extent cx="1328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ectPr>
          <w:pgSz w:w="11900" w:h="16838" w:orient="portrait"/>
          <w:cols w:equalWidth="0" w:num="1">
            <w:col w:w="9920"/>
          </w:cols>
          <w:pgMar w:left="980" w:top="513" w:right="99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
        </w:trPr>
        <w:tc>
          <w:tcPr>
            <w:tcW w:w="78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64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96,117</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133,125</w:t>
            </w:r>
          </w:p>
        </w:tc>
      </w:tr>
      <w:tr>
        <w:trPr>
          <w:trHeight w:val="20"/>
        </w:trPr>
        <w:tc>
          <w:tcPr>
            <w:tcW w:w="7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 </w:t>
      </w:r>
      <w:r>
        <w:rPr>
          <w:rFonts w:ascii="Times New Roman" w:cs="Times New Roman" w:eastAsia="Times New Roman" w:hAnsi="Times New Roman"/>
          <w:sz w:val="18"/>
          <w:szCs w:val="18"/>
          <w:i w:val="1"/>
          <w:iCs w:val="1"/>
          <w:color w:val="auto"/>
        </w:rPr>
        <w:t>(Note 11)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40" w:type="dxa"/>
            <w:vAlign w:val="bottom"/>
            <w:gridSpan w:val="5"/>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2240" w:type="dxa"/>
            <w:vAlign w:val="bottom"/>
            <w:gridSpan w:val="5"/>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(Restated</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8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0" w:type="dxa"/>
            <w:vAlign w:val="bottom"/>
          </w:tcPr>
          <w:p>
            <w:pPr>
              <w:spacing w:after="0"/>
              <w:rPr>
                <w:sz w:val="1"/>
                <w:szCs w:val="1"/>
                <w:color w:val="auto"/>
              </w:rPr>
            </w:pPr>
          </w:p>
        </w:tc>
      </w:tr>
      <w:tr>
        <w:trPr>
          <w:trHeight w:val="425"/>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18,328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28,666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34,235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(5,730)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3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12,384</w:t>
            </w:r>
          </w:p>
        </w:tc>
        <w:tc>
          <w:tcPr>
            <w:tcW w:w="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29,140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33,501</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8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2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 xml:space="preserve">— </w:t>
            </w:r>
            <w:r>
              <w:rPr>
                <w:rFonts w:ascii="Times New Roman" w:cs="Times New Roman" w:eastAsia="Times New Roman" w:hAnsi="Times New Roman"/>
                <w:sz w:val="18"/>
                <w:szCs w:val="18"/>
                <w:b w:val="1"/>
                <w:bCs w:val="1"/>
                <w:color w:val="auto"/>
              </w:rPr>
              <w:t>basic and diluted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227,119,216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196,508,806</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226,600,186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194,455,031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80" w:hanging="332"/>
        <w:spacing w:after="0" w:line="220" w:lineRule="auto"/>
        <w:tabs>
          <w:tab w:leader="none" w:pos="34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loss and comprehensive loss for the three and six months ended June 30, 2021 were restated. Refer to the Company’s Quarterly Report on Form 10-Q for the quarter ended September 30, 2021 filed with the Securities and Exchange Commission on November 15, 2021.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8"/>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2"/>
                <w:szCs w:val="12"/>
                <w:color w:val="auto"/>
              </w:rPr>
            </w:pPr>
          </w:p>
        </w:tc>
        <w:tc>
          <w:tcPr>
            <w:tcW w:w="7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78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gridSpan w:val="4"/>
            <w:vMerge w:val="continue"/>
          </w:tcPr>
          <w:p>
            <w:pPr>
              <w:spacing w:after="0"/>
              <w:rPr>
                <w:sz w:val="12"/>
                <w:szCs w:val="12"/>
                <w:color w:val="auto"/>
              </w:rPr>
            </w:pPr>
          </w:p>
        </w:tc>
        <w:tc>
          <w:tcPr>
            <w:tcW w:w="9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226,780,843</w:t>
            </w:r>
          </w:p>
        </w:tc>
        <w:tc>
          <w:tcPr>
            <w:tcW w:w="100" w:type="dxa"/>
            <w:vAlign w:val="bottom"/>
            <w:shd w:val="clear" w:color="auto" w:fill="CCEEFF"/>
          </w:tcPr>
          <w:p>
            <w:pPr>
              <w:spacing w:after="0"/>
              <w:rPr>
                <w:sz w:val="22"/>
                <w:szCs w:val="22"/>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$ 298,263</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107,952</w:t>
            </w:r>
          </w:p>
        </w:tc>
        <w:tc>
          <w:tcPr>
            <w:tcW w:w="60" w:type="dxa"/>
            <w:vAlign w:val="bottom"/>
            <w:shd w:val="clear" w:color="auto" w:fill="CCEEFF"/>
          </w:tcPr>
          <w:p>
            <w:pPr>
              <w:spacing w:after="0"/>
              <w:rPr>
                <w:sz w:val="22"/>
                <w:szCs w:val="22"/>
                <w:color w:val="auto"/>
              </w:rPr>
            </w:pPr>
          </w:p>
        </w:tc>
        <w:tc>
          <w:tcPr>
            <w:tcW w:w="1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(325,274)</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79,725</w:t>
            </w:r>
          </w:p>
        </w:tc>
        <w:tc>
          <w:tcPr>
            <w:tcW w:w="0" w:type="dxa"/>
            <w:vAlign w:val="bottom"/>
          </w:tcPr>
          <w:p>
            <w:pPr>
              <w:spacing w:after="0"/>
              <w:rPr>
                <w:sz w:val="1"/>
                <w:szCs w:val="1"/>
                <w:color w:val="auto"/>
              </w:rPr>
            </w:pPr>
          </w:p>
        </w:tc>
      </w:tr>
      <w:tr>
        <w:trPr>
          <w:trHeight w:val="188"/>
        </w:trPr>
        <w:tc>
          <w:tcPr>
            <w:tcW w:w="2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Exercise of stock options (Note 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6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w:t>
            </w:r>
          </w:p>
        </w:tc>
        <w:tc>
          <w:tcPr>
            <w:tcW w:w="8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316,725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(Note 6)</w:t>
            </w:r>
          </w:p>
        </w:tc>
        <w:tc>
          <w:tcPr>
            <w:tcW w:w="820" w:type="dxa"/>
            <w:vAlign w:val="bottom"/>
            <w:tcBorders>
              <w:lef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4"/>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42,426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1"/>
        </w:trPr>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Purchase Plan (Note 6)</w:t>
            </w: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(Note 6)</w:t>
            </w:r>
          </w:p>
        </w:tc>
        <w:tc>
          <w:tcPr>
            <w:tcW w:w="8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0" w:type="dxa"/>
            <w:vAlign w:val="bottom"/>
          </w:tcPr>
          <w:p>
            <w:pPr>
              <w:spacing w:after="0"/>
              <w:rPr>
                <w:sz w:val="1"/>
                <w:szCs w:val="1"/>
                <w:color w:val="auto"/>
              </w:rPr>
            </w:pPr>
          </w:p>
        </w:tc>
      </w:tr>
      <w:tr>
        <w:trPr>
          <w:trHeight w:val="126"/>
        </w:trPr>
        <w:tc>
          <w:tcPr>
            <w:tcW w:w="2760" w:type="dxa"/>
            <w:vAlign w:val="bottom"/>
            <w:gridSpan w:val="4"/>
          </w:tcPr>
          <w:p>
            <w:pPr>
              <w:spacing w:after="0" w:line="126" w:lineRule="exact"/>
              <w:rPr>
                <w:sz w:val="20"/>
                <w:szCs w:val="20"/>
                <w:color w:val="auto"/>
              </w:rPr>
            </w:pPr>
            <w:r>
              <w:rPr>
                <w:rFonts w:ascii="Times New Roman" w:cs="Times New Roman" w:eastAsia="Times New Roman" w:hAnsi="Times New Roman"/>
                <w:sz w:val="14"/>
                <w:szCs w:val="14"/>
                <w:color w:val="auto"/>
              </w:rPr>
              <w:t>Expenses to be settled in share-based</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payments</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8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(12,384)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(12,384)</w:t>
            </w:r>
          </w:p>
        </w:tc>
        <w:tc>
          <w:tcPr>
            <w:tcW w:w="0" w:type="dxa"/>
            <w:vAlign w:val="bottom"/>
          </w:tcPr>
          <w:p>
            <w:pPr>
              <w:spacing w:after="0"/>
              <w:rPr>
                <w:sz w:val="1"/>
                <w:szCs w:val="1"/>
                <w:color w:val="auto"/>
              </w:rPr>
            </w:pPr>
          </w:p>
        </w:tc>
      </w:tr>
      <w:tr>
        <w:trPr>
          <w:trHeight w:val="20"/>
        </w:trPr>
        <w:tc>
          <w:tcPr>
            <w:tcW w:w="2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60" w:type="dxa"/>
            <w:vAlign w:val="bottom"/>
            <w:gridSpan w:val="4"/>
            <w:vMerge w:val="continue"/>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227,158,455</w:t>
            </w:r>
          </w:p>
        </w:tc>
        <w:tc>
          <w:tcPr>
            <w:tcW w:w="100" w:type="dxa"/>
            <w:vAlign w:val="bottom"/>
          </w:tcPr>
          <w:p>
            <w:pPr>
              <w:spacing w:after="0"/>
              <w:rPr>
                <w:sz w:val="14"/>
                <w:szCs w:val="14"/>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$ 299,056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113,487</w:t>
            </w:r>
          </w:p>
        </w:tc>
        <w:tc>
          <w:tcPr>
            <w:tcW w:w="60" w:type="dxa"/>
            <w:vAlign w:val="bottom"/>
          </w:tcPr>
          <w:p>
            <w:pPr>
              <w:spacing w:after="0"/>
              <w:rPr>
                <w:sz w:val="14"/>
                <w:szCs w:val="14"/>
                <w:color w:val="auto"/>
              </w:rPr>
            </w:pPr>
          </w:p>
        </w:tc>
        <w:tc>
          <w:tcPr>
            <w:tcW w:w="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(337,658)</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73,669</w:t>
            </w:r>
          </w:p>
        </w:tc>
        <w:tc>
          <w:tcPr>
            <w:tcW w:w="0" w:type="dxa"/>
            <w:vAlign w:val="bottom"/>
          </w:tcPr>
          <w:p>
            <w:pPr>
              <w:spacing w:after="0"/>
              <w:rPr>
                <w:sz w:val="1"/>
                <w:szCs w:val="1"/>
                <w:color w:val="auto"/>
              </w:rPr>
            </w:pPr>
          </w:p>
        </w:tc>
      </w:tr>
      <w:tr>
        <w:trPr>
          <w:trHeight w:val="269"/>
        </w:trPr>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4"/>
            <w:vMerge w:val="continue"/>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vMerge w:val="continue"/>
          </w:tcPr>
          <w:p>
            <w:pPr>
              <w:spacing w:after="0"/>
              <w:rPr>
                <w:sz w:val="23"/>
                <w:szCs w:val="23"/>
                <w:color w:val="auto"/>
              </w:rPr>
            </w:pPr>
          </w:p>
        </w:tc>
        <w:tc>
          <w:tcPr>
            <w:tcW w:w="280" w:type="dxa"/>
            <w:vAlign w:val="bottom"/>
            <w:gridSpan w:val="3"/>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240" w:type="dxa"/>
            <w:vAlign w:val="bottom"/>
            <w:gridSpan w:val="3"/>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3"/>
            <w:vMerge w:val="continue"/>
          </w:tcPr>
          <w:p>
            <w:pPr>
              <w:spacing w:after="0"/>
              <w:rPr>
                <w:sz w:val="23"/>
                <w:szCs w:val="23"/>
                <w:color w:val="auto"/>
              </w:rPr>
            </w:pPr>
          </w:p>
        </w:tc>
        <w:tc>
          <w:tcPr>
            <w:tcW w:w="1060" w:type="dxa"/>
            <w:vAlign w:val="bottom"/>
            <w:gridSpan w:val="3"/>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continue"/>
          </w:tcPr>
          <w:p>
            <w:pPr>
              <w:spacing w:after="0"/>
              <w:rPr>
                <w:sz w:val="23"/>
                <w:szCs w:val="23"/>
                <w:color w:val="auto"/>
              </w:rPr>
            </w:pPr>
          </w:p>
        </w:tc>
        <w:tc>
          <w:tcPr>
            <w:tcW w:w="140" w:type="dxa"/>
            <w:vAlign w:val="bottom"/>
            <w:gridSpan w:val="2"/>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2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top w:val="single" w:sz="8" w:color="auto"/>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60" w:type="dxa"/>
            <w:vAlign w:val="bottom"/>
            <w:gridSpan w:val="4"/>
            <w:vMerge w:val="continue"/>
          </w:tcPr>
          <w:p>
            <w:pPr>
              <w:spacing w:after="0"/>
              <w:rPr>
                <w:sz w:val="12"/>
                <w:szCs w:val="12"/>
                <w:color w:val="auto"/>
              </w:rPr>
            </w:pPr>
          </w:p>
        </w:tc>
        <w:tc>
          <w:tcPr>
            <w:tcW w:w="1780" w:type="dxa"/>
            <w:vAlign w:val="bottom"/>
            <w:gridSpan w:val="8"/>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(Restated </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178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92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6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195,945,508</w:t>
            </w: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183,137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61,728</w:t>
            </w:r>
          </w:p>
        </w:tc>
        <w:tc>
          <w:tcPr>
            <w:tcW w:w="6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(218,568)</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25,631</w:t>
            </w:r>
          </w:p>
        </w:tc>
        <w:tc>
          <w:tcPr>
            <w:tcW w:w="0" w:type="dxa"/>
            <w:vAlign w:val="bottom"/>
          </w:tcPr>
          <w:p>
            <w:pPr>
              <w:spacing w:after="0"/>
              <w:rPr>
                <w:sz w:val="1"/>
                <w:szCs w:val="1"/>
                <w:color w:val="auto"/>
              </w:rPr>
            </w:pPr>
          </w:p>
        </w:tc>
      </w:tr>
      <w:tr>
        <w:trPr>
          <w:trHeight w:val="188"/>
        </w:trPr>
        <w:tc>
          <w:tcPr>
            <w:tcW w:w="2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Exercise of stock options (Note 6)</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1,841,944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88"/>
        </w:trPr>
        <w:tc>
          <w:tcPr>
            <w:tcW w:w="2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(Note 6)</w:t>
            </w:r>
          </w:p>
        </w:tc>
        <w:tc>
          <w:tcPr>
            <w:tcW w:w="8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15,343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0" w:type="dxa"/>
            <w:vAlign w:val="bottom"/>
          </w:tcPr>
          <w:p>
            <w:pPr>
              <w:spacing w:after="0"/>
              <w:rPr>
                <w:sz w:val="1"/>
                <w:szCs w:val="1"/>
                <w:color w:val="auto"/>
              </w:rPr>
            </w:pPr>
          </w:p>
        </w:tc>
      </w:tr>
      <w:tr>
        <w:trPr>
          <w:trHeight w:val="188"/>
        </w:trPr>
        <w:tc>
          <w:tcPr>
            <w:tcW w:w="2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Common shares issued for services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6,947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8"/>
        </w:trPr>
        <w:tc>
          <w:tcPr>
            <w:tcW w:w="2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8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left w:val="single" w:sz="8" w:color="CCEEFF"/>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(29,140)</w:t>
            </w:r>
          </w:p>
        </w:tc>
        <w:tc>
          <w:tcPr>
            <w:tcW w:w="10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(29,140)</w:t>
            </w:r>
          </w:p>
        </w:tc>
        <w:tc>
          <w:tcPr>
            <w:tcW w:w="0" w:type="dxa"/>
            <w:vAlign w:val="bottom"/>
          </w:tcPr>
          <w:p>
            <w:pPr>
              <w:spacing w:after="0"/>
              <w:rPr>
                <w:sz w:val="1"/>
                <w:szCs w:val="1"/>
                <w:color w:val="auto"/>
              </w:rPr>
            </w:pPr>
          </w:p>
        </w:tc>
      </w:tr>
      <w:tr>
        <w:trPr>
          <w:trHeight w:val="170"/>
        </w:trPr>
        <w:tc>
          <w:tcPr>
            <w:tcW w:w="2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197,794,399</w:t>
            </w:r>
          </w:p>
        </w:tc>
        <w:tc>
          <w:tcPr>
            <w:tcW w:w="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188,901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550</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72,541</w:t>
            </w:r>
          </w:p>
        </w:tc>
        <w:tc>
          <w:tcPr>
            <w:tcW w:w="60" w:type="dxa"/>
            <w:vAlign w:val="bottom"/>
          </w:tcPr>
          <w:p>
            <w:pPr>
              <w:spacing w:after="0"/>
              <w:rPr>
                <w:sz w:val="14"/>
                <w:szCs w:val="14"/>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(247,708)</w:t>
            </w:r>
          </w:p>
        </w:tc>
        <w:tc>
          <w:tcPr>
            <w:tcW w:w="100" w:type="dxa"/>
            <w:vAlign w:val="bottom"/>
          </w:tcPr>
          <w:p>
            <w:pPr>
              <w:spacing w:after="0"/>
              <w:rPr>
                <w:sz w:val="14"/>
                <w:szCs w:val="14"/>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13,068</w:t>
            </w:r>
          </w:p>
        </w:tc>
        <w:tc>
          <w:tcPr>
            <w:tcW w:w="0" w:type="dxa"/>
            <w:vAlign w:val="bottom"/>
          </w:tcPr>
          <w:p>
            <w:pPr>
              <w:spacing w:after="0"/>
              <w:rPr>
                <w:sz w:val="1"/>
                <w:szCs w:val="1"/>
                <w:color w:val="auto"/>
              </w:rPr>
            </w:pPr>
          </w:p>
        </w:tc>
      </w:tr>
      <w:tr>
        <w:trPr>
          <w:trHeight w:val="269"/>
        </w:trPr>
        <w:tc>
          <w:tcPr>
            <w:tcW w:w="2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240" w:type="dxa"/>
            <w:vAlign w:val="bottom"/>
            <w:gridSpan w:val="3"/>
            <w:vMerge w:val="continue"/>
          </w:tcPr>
          <w:p>
            <w:pPr>
              <w:spacing w:after="0"/>
              <w:rPr>
                <w:sz w:val="23"/>
                <w:szCs w:val="23"/>
                <w:color w:val="auto"/>
              </w:rPr>
            </w:pPr>
          </w:p>
        </w:tc>
        <w:tc>
          <w:tcPr>
            <w:tcW w:w="58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vMerge w:val="continue"/>
          </w:tcPr>
          <w:p>
            <w:pPr>
              <w:spacing w:after="0"/>
              <w:rPr>
                <w:sz w:val="23"/>
                <w:szCs w:val="23"/>
                <w:color w:val="auto"/>
              </w:rPr>
            </w:pPr>
          </w:p>
        </w:tc>
        <w:tc>
          <w:tcPr>
            <w:tcW w:w="540" w:type="dxa"/>
            <w:vAlign w:val="bottom"/>
            <w:vMerge w:val="continue"/>
          </w:tcPr>
          <w:p>
            <w:pPr>
              <w:spacing w:after="0"/>
              <w:rPr>
                <w:sz w:val="23"/>
                <w:szCs w:val="23"/>
                <w:color w:val="auto"/>
              </w:rPr>
            </w:pPr>
          </w:p>
        </w:tc>
        <w:tc>
          <w:tcPr>
            <w:tcW w:w="280" w:type="dxa"/>
            <w:vAlign w:val="bottom"/>
            <w:gridSpan w:val="3"/>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240" w:type="dxa"/>
            <w:vAlign w:val="bottom"/>
            <w:gridSpan w:val="3"/>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3"/>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gridSpan w:val="2"/>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gridSpan w:val="2"/>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300" w:hanging="332"/>
        <w:spacing w:after="0" w:line="220" w:lineRule="auto"/>
        <w:tabs>
          <w:tab w:leader="none" w:pos="34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 of changes in shareholders’ equity for the three months ended June 30,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6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225,432,493</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296,051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102,073</w:t>
            </w:r>
          </w:p>
        </w:tc>
        <w:tc>
          <w:tcPr>
            <w:tcW w:w="6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(1,216)</w:t>
            </w: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(304,157)</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88"/>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Exercise of stock options (Note 6)</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6"/>
        </w:trPr>
        <w:tc>
          <w:tcPr>
            <w:tcW w:w="284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(Note 6)</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1,665,075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2,917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(2,995)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31"/>
        </w:trPr>
        <w:tc>
          <w:tcPr>
            <w:tcW w:w="2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4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Purchase Plan (Note 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(Note 6)</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14,429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0" w:type="dxa"/>
            <w:vAlign w:val="bottom"/>
          </w:tcPr>
          <w:p>
            <w:pPr>
              <w:spacing w:after="0"/>
              <w:rPr>
                <w:sz w:val="1"/>
                <w:szCs w:val="1"/>
                <w:color w:val="auto"/>
              </w:rPr>
            </w:pPr>
          </w:p>
        </w:tc>
      </w:tr>
      <w:tr>
        <w:trPr>
          <w:trHeight w:val="188"/>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0" w:type="dxa"/>
            <w:vAlign w:val="bottom"/>
          </w:tcPr>
          <w:p>
            <w:pPr>
              <w:spacing w:after="0"/>
              <w:rPr>
                <w:sz w:val="1"/>
                <w:szCs w:val="1"/>
                <w:color w:val="auto"/>
              </w:rPr>
            </w:pPr>
          </w:p>
        </w:tc>
      </w:tr>
      <w:tr>
        <w:trPr>
          <w:trHeight w:val="170"/>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227,158,455</w:t>
            </w:r>
          </w:p>
        </w:tc>
        <w:tc>
          <w:tcPr>
            <w:tcW w:w="20" w:type="dxa"/>
            <w:vAlign w:val="bottom"/>
            <w:shd w:val="clear" w:color="auto" w:fill="CCEEFF"/>
          </w:tcPr>
          <w:p>
            <w:pPr>
              <w:spacing w:after="0"/>
              <w:rPr>
                <w:sz w:val="14"/>
                <w:szCs w:val="14"/>
                <w:color w:val="auto"/>
              </w:rPr>
            </w:pPr>
          </w:p>
        </w:tc>
        <w:tc>
          <w:tcPr>
            <w:tcW w:w="2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299,056</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113,487</w:t>
            </w:r>
          </w:p>
        </w:tc>
        <w:tc>
          <w:tcPr>
            <w:tcW w:w="60" w:type="dxa"/>
            <w:vAlign w:val="bottom"/>
            <w:shd w:val="clear" w:color="auto" w:fill="CCEEFF"/>
          </w:tcPr>
          <w:p>
            <w:pPr>
              <w:spacing w:after="0"/>
              <w:rPr>
                <w:sz w:val="14"/>
                <w:szCs w:val="14"/>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(1,216)</w:t>
            </w:r>
          </w:p>
        </w:tc>
        <w:tc>
          <w:tcPr>
            <w:tcW w:w="2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(337,658)</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73,669</w:t>
            </w:r>
          </w:p>
        </w:tc>
        <w:tc>
          <w:tcPr>
            <w:tcW w:w="0" w:type="dxa"/>
            <w:vAlign w:val="bottom"/>
          </w:tcPr>
          <w:p>
            <w:pPr>
              <w:spacing w:after="0"/>
              <w:rPr>
                <w:sz w:val="1"/>
                <w:szCs w:val="1"/>
                <w:color w:val="auto"/>
              </w:rPr>
            </w:pPr>
          </w:p>
        </w:tc>
      </w:tr>
      <w:tr>
        <w:trPr>
          <w:trHeight w:val="269"/>
        </w:trPr>
        <w:tc>
          <w:tcPr>
            <w:tcW w:w="2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3"/>
            <w:vMerge w:val="continue"/>
            <w:shd w:val="clear" w:color="auto" w:fill="CCEEFF"/>
          </w:tcPr>
          <w:p>
            <w:pPr>
              <w:spacing w:after="0"/>
              <w:rPr>
                <w:sz w:val="23"/>
                <w:szCs w:val="23"/>
                <w:color w:val="auto"/>
              </w:rPr>
            </w:pPr>
          </w:p>
        </w:tc>
        <w:tc>
          <w:tcPr>
            <w:tcW w:w="640" w:type="dxa"/>
            <w:vAlign w:val="bottom"/>
            <w:gridSpan w:val="2"/>
            <w:vMerge w:val="continue"/>
            <w:shd w:val="clear" w:color="auto" w:fill="CCEEFF"/>
          </w:tcPr>
          <w:p>
            <w:pPr>
              <w:spacing w:after="0"/>
              <w:rPr>
                <w:sz w:val="23"/>
                <w:szCs w:val="23"/>
                <w:color w:val="auto"/>
              </w:rPr>
            </w:pPr>
          </w:p>
        </w:tc>
        <w:tc>
          <w:tcPr>
            <w:tcW w:w="260" w:type="dxa"/>
            <w:vAlign w:val="bottom"/>
            <w:gridSpan w:val="3"/>
            <w:vMerge w:val="continue"/>
            <w:shd w:val="clear" w:color="auto" w:fill="CCEEFF"/>
          </w:tcPr>
          <w:p>
            <w:pPr>
              <w:spacing w:after="0"/>
              <w:rPr>
                <w:sz w:val="23"/>
                <w:szCs w:val="23"/>
                <w:color w:val="auto"/>
              </w:rPr>
            </w:pPr>
          </w:p>
        </w:tc>
        <w:tc>
          <w:tcPr>
            <w:tcW w:w="560" w:type="dxa"/>
            <w:vAlign w:val="bottom"/>
            <w:gridSpan w:val="2"/>
            <w:vMerge w:val="continue"/>
            <w:shd w:val="clear" w:color="auto" w:fill="CCEEFF"/>
          </w:tcPr>
          <w:p>
            <w:pPr>
              <w:spacing w:after="0"/>
              <w:rPr>
                <w:sz w:val="23"/>
                <w:szCs w:val="23"/>
                <w:color w:val="auto"/>
              </w:rPr>
            </w:pPr>
          </w:p>
        </w:tc>
        <w:tc>
          <w:tcPr>
            <w:tcW w:w="340" w:type="dxa"/>
            <w:vAlign w:val="bottom"/>
            <w:gridSpan w:val="3"/>
            <w:vMerge w:val="continue"/>
            <w:shd w:val="clear" w:color="auto" w:fill="CCEEFF"/>
          </w:tcPr>
          <w:p>
            <w:pPr>
              <w:spacing w:after="0"/>
              <w:rPr>
                <w:sz w:val="23"/>
                <w:szCs w:val="23"/>
                <w:color w:val="auto"/>
              </w:rPr>
            </w:pPr>
          </w:p>
        </w:tc>
        <w:tc>
          <w:tcPr>
            <w:tcW w:w="340" w:type="dxa"/>
            <w:vAlign w:val="bottom"/>
            <w:gridSpan w:val="2"/>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2"/>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gridSpan w:val="3"/>
            <w:vMerge w:val="continue"/>
            <w:shd w:val="clear" w:color="auto" w:fill="CCEEFF"/>
          </w:tcPr>
          <w:p>
            <w:pPr>
              <w:spacing w:after="0"/>
              <w:rPr>
                <w:sz w:val="23"/>
                <w:szCs w:val="23"/>
                <w:color w:val="auto"/>
              </w:rPr>
            </w:pPr>
          </w:p>
        </w:tc>
        <w:tc>
          <w:tcPr>
            <w:tcW w:w="1080" w:type="dxa"/>
            <w:vAlign w:val="bottom"/>
            <w:gridSpan w:val="3"/>
            <w:vMerge w:val="continue"/>
            <w:shd w:val="clear" w:color="auto" w:fill="CCEEFF"/>
          </w:tcPr>
          <w:p>
            <w:pPr>
              <w:spacing w:after="0"/>
              <w:rPr>
                <w:sz w:val="23"/>
                <w:szCs w:val="23"/>
                <w:color w:val="auto"/>
              </w:rPr>
            </w:pPr>
          </w:p>
        </w:tc>
        <w:tc>
          <w:tcPr>
            <w:tcW w:w="200" w:type="dxa"/>
            <w:vAlign w:val="bottom"/>
            <w:gridSpan w:val="3"/>
            <w:vMerge w:val="continue"/>
            <w:shd w:val="clear" w:color="auto" w:fill="CCEEFF"/>
          </w:tcPr>
          <w:p>
            <w:pPr>
              <w:spacing w:after="0"/>
              <w:rPr>
                <w:sz w:val="23"/>
                <w:szCs w:val="23"/>
                <w:color w:val="auto"/>
              </w:rPr>
            </w:pPr>
          </w:p>
        </w:tc>
        <w:tc>
          <w:tcPr>
            <w:tcW w:w="680" w:type="dxa"/>
            <w:vAlign w:val="bottom"/>
            <w:gridSpan w:val="3"/>
            <w:vMerge w:val="continue"/>
            <w:shd w:val="clear" w:color="auto" w:fill="CCEEFF"/>
          </w:tcPr>
          <w:p>
            <w:pPr>
              <w:spacing w:after="0"/>
              <w:rPr>
                <w:sz w:val="23"/>
                <w:szCs w:val="23"/>
                <w:color w:val="auto"/>
              </w:rPr>
            </w:pPr>
          </w:p>
        </w:tc>
        <w:tc>
          <w:tcPr>
            <w:tcW w:w="180" w:type="dxa"/>
            <w:vAlign w:val="bottom"/>
            <w:gridSpan w:val="3"/>
            <w:vMerge w:val="continue"/>
            <w:shd w:val="clear" w:color="auto" w:fill="CCEEFF"/>
          </w:tcPr>
          <w:p>
            <w:pPr>
              <w:spacing w:after="0"/>
              <w:rPr>
                <w:sz w:val="23"/>
                <w:szCs w:val="23"/>
                <w:color w:val="auto"/>
              </w:rPr>
            </w:pPr>
          </w:p>
        </w:tc>
        <w:tc>
          <w:tcPr>
            <w:tcW w:w="5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01"/>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74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(Restated </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5"/>
                <w:szCs w:val="15"/>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6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16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39"/>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189,493,593</w:t>
            </w:r>
          </w:p>
        </w:tc>
        <w:tc>
          <w:tcPr>
            <w:tcW w:w="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154,431</w:t>
            </w:r>
          </w:p>
        </w:tc>
        <w:tc>
          <w:tcPr>
            <w:tcW w:w="8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w:t>
            </w:r>
          </w:p>
        </w:tc>
        <w:tc>
          <w:tcPr>
            <w:tcW w:w="6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45,347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(162,858)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88"/>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Exercise of stock options (Note 6)</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3,990,934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126"/>
        </w:trPr>
        <w:tc>
          <w:tcPr>
            <w:tcW w:w="284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evaluation expenses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31"/>
        </w:trPr>
        <w:tc>
          <w:tcPr>
            <w:tcW w:w="2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Share-based compensation (Note 6)</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45,768</w:t>
            </w:r>
          </w:p>
        </w:tc>
        <w:tc>
          <w:tcPr>
            <w:tcW w:w="0" w:type="dxa"/>
            <w:vAlign w:val="bottom"/>
          </w:tcPr>
          <w:p>
            <w:pPr>
              <w:spacing w:after="0"/>
              <w:rPr>
                <w:sz w:val="1"/>
                <w:szCs w:val="1"/>
                <w:color w:val="auto"/>
              </w:rPr>
            </w:pPr>
          </w:p>
        </w:tc>
      </w:tr>
      <w:tr>
        <w:trPr>
          <w:trHeight w:val="126"/>
        </w:trPr>
        <w:tc>
          <w:tcPr>
            <w:tcW w:w="2840" w:type="dxa"/>
            <w:vAlign w:val="bottom"/>
            <w:gridSpan w:val="5"/>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stock options</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Common shares issued for services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debentures</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88"/>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(84,850)</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(84,850)</w:t>
            </w:r>
          </w:p>
        </w:tc>
        <w:tc>
          <w:tcPr>
            <w:tcW w:w="0" w:type="dxa"/>
            <w:vAlign w:val="bottom"/>
          </w:tcPr>
          <w:p>
            <w:pPr>
              <w:spacing w:after="0"/>
              <w:rPr>
                <w:sz w:val="1"/>
                <w:szCs w:val="1"/>
                <w:color w:val="auto"/>
              </w:rPr>
            </w:pPr>
          </w:p>
        </w:tc>
      </w:tr>
      <w:tr>
        <w:trPr>
          <w:trHeight w:val="170"/>
        </w:trPr>
        <w:tc>
          <w:tcPr>
            <w:tcW w:w="2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197,794,399</w:t>
            </w:r>
          </w:p>
        </w:tc>
        <w:tc>
          <w:tcPr>
            <w:tcW w:w="20" w:type="dxa"/>
            <w:vAlign w:val="bottom"/>
            <w:shd w:val="clear" w:color="auto" w:fill="CCEEFF"/>
          </w:tcPr>
          <w:p>
            <w:pPr>
              <w:spacing w:after="0"/>
              <w:rPr>
                <w:sz w:val="14"/>
                <w:szCs w:val="14"/>
                <w:color w:val="auto"/>
              </w:rPr>
            </w:pPr>
          </w:p>
        </w:tc>
        <w:tc>
          <w:tcPr>
            <w:tcW w:w="2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188,901</w:t>
            </w:r>
          </w:p>
        </w:tc>
        <w:tc>
          <w:tcPr>
            <w:tcW w:w="80" w:type="dxa"/>
            <w:vAlign w:val="bottom"/>
            <w:shd w:val="clear" w:color="auto" w:fill="CCEEFF"/>
          </w:tcPr>
          <w:p>
            <w:pPr>
              <w:spacing w:after="0"/>
              <w:rPr>
                <w:sz w:val="14"/>
                <w:szCs w:val="14"/>
                <w:color w:val="auto"/>
              </w:rPr>
            </w:pPr>
          </w:p>
        </w:tc>
        <w:tc>
          <w:tcPr>
            <w:tcW w:w="26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w:t>
            </w:r>
          </w:p>
        </w:tc>
        <w:tc>
          <w:tcPr>
            <w:tcW w:w="60" w:type="dxa"/>
            <w:vAlign w:val="bottom"/>
            <w:shd w:val="clear" w:color="auto" w:fill="CCEEFF"/>
          </w:tcPr>
          <w:p>
            <w:pPr>
              <w:spacing w:after="0"/>
              <w:rPr>
                <w:sz w:val="14"/>
                <w:szCs w:val="14"/>
                <w:color w:val="auto"/>
              </w:rPr>
            </w:pPr>
          </w:p>
        </w:tc>
        <w:tc>
          <w:tcPr>
            <w:tcW w:w="34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72,541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(247,708)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13,068</w:t>
            </w:r>
          </w:p>
        </w:tc>
        <w:tc>
          <w:tcPr>
            <w:tcW w:w="0" w:type="dxa"/>
            <w:vAlign w:val="bottom"/>
          </w:tcPr>
          <w:p>
            <w:pPr>
              <w:spacing w:after="0"/>
              <w:rPr>
                <w:sz w:val="1"/>
                <w:szCs w:val="1"/>
                <w:color w:val="auto"/>
              </w:rPr>
            </w:pPr>
          </w:p>
        </w:tc>
      </w:tr>
      <w:tr>
        <w:trPr>
          <w:trHeight w:val="269"/>
        </w:trPr>
        <w:tc>
          <w:tcPr>
            <w:tcW w:w="2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3"/>
            <w:vMerge w:val="continue"/>
            <w:shd w:val="clear" w:color="auto" w:fill="CCEEFF"/>
          </w:tcPr>
          <w:p>
            <w:pPr>
              <w:spacing w:after="0"/>
              <w:rPr>
                <w:sz w:val="23"/>
                <w:szCs w:val="23"/>
                <w:color w:val="auto"/>
              </w:rPr>
            </w:pPr>
          </w:p>
        </w:tc>
        <w:tc>
          <w:tcPr>
            <w:tcW w:w="56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gridSpan w:val="3"/>
            <w:vMerge w:val="continue"/>
            <w:shd w:val="clear" w:color="auto" w:fill="CCEEFF"/>
          </w:tcPr>
          <w:p>
            <w:pPr>
              <w:spacing w:after="0"/>
              <w:rPr>
                <w:sz w:val="23"/>
                <w:szCs w:val="23"/>
                <w:color w:val="auto"/>
              </w:rPr>
            </w:pPr>
          </w:p>
        </w:tc>
        <w:tc>
          <w:tcPr>
            <w:tcW w:w="50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gridSpan w:val="3"/>
            <w:vMerge w:val="continue"/>
            <w:shd w:val="clear" w:color="auto" w:fill="CCEEFF"/>
          </w:tcPr>
          <w:p>
            <w:pPr>
              <w:spacing w:after="0"/>
              <w:rPr>
                <w:sz w:val="23"/>
                <w:szCs w:val="23"/>
                <w:color w:val="auto"/>
              </w:rPr>
            </w:pPr>
          </w:p>
        </w:tc>
        <w:tc>
          <w:tcPr>
            <w:tcW w:w="340" w:type="dxa"/>
            <w:vAlign w:val="bottom"/>
            <w:gridSpan w:val="2"/>
            <w:vMerge w:val="continue"/>
            <w:shd w:val="clear" w:color="auto" w:fill="CCEEFF"/>
          </w:tcPr>
          <w:p>
            <w:pPr>
              <w:spacing w:after="0"/>
              <w:rPr>
                <w:sz w:val="23"/>
                <w:szCs w:val="23"/>
                <w:color w:val="auto"/>
              </w:rPr>
            </w:pPr>
          </w:p>
        </w:tc>
        <w:tc>
          <w:tcPr>
            <w:tcW w:w="280" w:type="dxa"/>
            <w:vAlign w:val="bottom"/>
            <w:gridSpan w:val="3"/>
            <w:vMerge w:val="continue"/>
            <w:shd w:val="clear" w:color="auto" w:fill="CCEEFF"/>
          </w:tcPr>
          <w:p>
            <w:pPr>
              <w:spacing w:after="0"/>
              <w:rPr>
                <w:sz w:val="23"/>
                <w:szCs w:val="23"/>
                <w:color w:val="auto"/>
              </w:rPr>
            </w:pPr>
          </w:p>
        </w:tc>
        <w:tc>
          <w:tcPr>
            <w:tcW w:w="580" w:type="dxa"/>
            <w:vAlign w:val="bottom"/>
            <w:vMerge w:val="continue"/>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gridSpan w:val="3"/>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gridSpan w:val="3"/>
            <w:vMerge w:val="continue"/>
            <w:shd w:val="clear" w:color="auto" w:fill="CCEEFF"/>
          </w:tcPr>
          <w:p>
            <w:pPr>
              <w:spacing w:after="0"/>
              <w:rPr>
                <w:sz w:val="23"/>
                <w:szCs w:val="23"/>
                <w:color w:val="auto"/>
              </w:rPr>
            </w:pPr>
          </w:p>
        </w:tc>
        <w:tc>
          <w:tcPr>
            <w:tcW w:w="58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gridSpan w:val="3"/>
            <w:vMerge w:val="continue"/>
            <w:shd w:val="clear" w:color="auto" w:fill="CCEEFF"/>
          </w:tcPr>
          <w:p>
            <w:pPr>
              <w:spacing w:after="0"/>
              <w:rPr>
                <w:sz w:val="23"/>
                <w:szCs w:val="23"/>
                <w:color w:val="auto"/>
              </w:rPr>
            </w:pPr>
          </w:p>
        </w:tc>
        <w:tc>
          <w:tcPr>
            <w:tcW w:w="5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20" w:lineRule="auto"/>
        <w:tabs>
          <w:tab w:leader="none" w:pos="3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 of changes in shareholders’ equity for the six months ended June 30,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94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60" w:type="dxa"/>
            <w:vAlign w:val="bottom"/>
            <w:gridSpan w:val="3"/>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(Restated </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(33,501)</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425"/>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(38,123)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5"/>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136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(38,585)</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36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46,259</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right="200" w:hanging="332"/>
        <w:spacing w:after="0" w:line="220" w:lineRule="auto"/>
        <w:tabs>
          <w:tab w:leader="none" w:pos="3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 of cash flows for the six months ended June 30, 2021 was restated. Refer to the Company’s Quarterly Report on Form 10-Q for the quarter ended September 30, 2021 filed with the Securities and Exchange Commission on November 15, 2021.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513" w:right="99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20"/>
          </w:cols>
          <w:pgMar w:left="980" w:top="513" w:right="999" w:bottom="0" w:gutter="0" w:footer="0" w:header="0"/>
          <w:type w:val="continuous"/>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96"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for electric vehicles (“EV”) and renewable energy storage markets, (ii) nickel-copper-cobalt matte and/or copper cathode for EV wiring, clean energy transmission and other applications and (iii) manganese silicate for manganese alloy production require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in 1994 pursuant to the United Nations Convention on the Law of the Sea. ISA contracts are granted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(“Marawa Area”). The Company through its subsidiary DeepGreen Engineering Pte. Ltd. (“DGE”) entered into an option agreement (the “Marawa Option Agreement”) with Marawa to acquire the right to purchase tenements, as may be granted to Marawa by the ISA or any other regulatory body, granted to exclusively collect nodules from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03"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17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w:t>
      </w:r>
    </w:p>
    <w:p>
      <w:pPr>
        <w:spacing w:after="0" w:line="15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and warrants liability (Note 5). Actual results could differ materially from those estimates.</w:t>
      </w:r>
    </w:p>
    <w:p>
      <w:pPr>
        <w:spacing w:after="0" w:line="9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2022 and 2021.</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June 30,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Accounting Policies Adopted during the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Share-Based Compensation on Employee Share Purchase Plan</w:t>
      </w:r>
    </w:p>
    <w:p>
      <w:pPr>
        <w:spacing w:after="0" w:line="22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the Company implemented an employee share purchase plan (the “ESPP”) whereby employees can purchase common shares of the Company at a 15% discount to its share price at the time of purchase, through payroll deductions (Note 6).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8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Certain Modifications or Exchanges of Freestanding Equity-Classified Written Call Options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In May 2021, the Financial Accounting Standards Board (the “FASB”) issued Accounting Standards Update (“ASU”) 2021-04, </w:t>
      </w:r>
      <w:r>
        <w:rPr>
          <w:rFonts w:ascii="Times New Roman" w:cs="Times New Roman" w:eastAsia="Times New Roman" w:hAnsi="Times New Roman"/>
          <w:sz w:val="18"/>
          <w:szCs w:val="18"/>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which clarified and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jc w:val="both"/>
        <w:ind w:left="340" w:right="7860" w:hanging="332"/>
        <w:spacing w:after="0" w:line="530" w:lineRule="auto"/>
        <w:tabs>
          <w:tab w:leader="none" w:pos="3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Exploration Contracts Strategic Partnerships</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made the second $10 million payment of the amended Pilot Mining Test Agreement (“PMTA”) on April 25, 2022, upon successful completion of the North Sea drive test on March 25, 2022. The third and final $10 million will be payable upon successful completion of the pilot trial of the Pilot Mining Test System (“PMTS”) in NORI Area D. Completion of the pilot trial of the PMTS and third and final payment is expected to occur in the fourth quarter of 2022.</w:t>
      </w:r>
    </w:p>
    <w:p>
      <w:pPr>
        <w:spacing w:after="0" w:line="179" w:lineRule="exact"/>
        <w:rPr>
          <w:rFonts w:ascii="Times New Roman" w:cs="Times New Roman" w:eastAsia="Times New Roman" w:hAnsi="Times New Roman"/>
          <w:sz w:val="17"/>
          <w:szCs w:val="17"/>
          <w:b w:val="1"/>
          <w:bCs w:val="1"/>
          <w:color w:val="auto"/>
        </w:rPr>
      </w:pPr>
    </w:p>
    <w:p>
      <w:pPr>
        <w:jc w:val="both"/>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Total cost recorded as exploration and evaluation expenses for the PMTS during the three and six months ended June 30, 2022 amounted to $1.3 million and $2.6 million, respectively (three and six months ended June 30, 2021 amounted to $nil). The Company has not recorded a liability for the third payment as at June 30, 2022.</w:t>
      </w:r>
    </w:p>
    <w:p>
      <w:pPr>
        <w:spacing w:after="0" w:line="175"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7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June 30, 2022, Allseas owned 17.2 million TMC common shares (December 31, 2021 – 16.2 million TMC common shares) which constituted 7.6% (December 31, 2021 – 7.2%) of total common shares outstanding.</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648"/>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648"/>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432"/>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648"/>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432"/>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648"/>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641"/>
        </w:trPr>
        <w:tc>
          <w:tcPr>
            <w:tcW w:w="49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9,985</w:t>
            </w:r>
          </w:p>
        </w:tc>
        <w:tc>
          <w:tcPr>
            <w:tcW w:w="0" w:type="dxa"/>
            <w:vAlign w:val="bottom"/>
          </w:tcPr>
          <w:p>
            <w:pPr>
              <w:spacing w:after="0"/>
              <w:rPr>
                <w:sz w:val="1"/>
                <w:szCs w:val="1"/>
                <w:color w:val="auto"/>
              </w:rPr>
            </w:pPr>
          </w:p>
        </w:tc>
      </w:tr>
      <w:tr>
        <w:trPr>
          <w:trHeight w:val="347"/>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2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648"/>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648"/>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432"/>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4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9920"/>
          </w:cols>
          <w:pgMar w:left="980" w:top="513" w:right="9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0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100" w:type="dxa"/>
            <w:vAlign w:val="bottom"/>
            <w:tcBorders>
              <w:bottom w:val="single" w:sz="8" w:color="CCEEFF"/>
            </w:tcBorders>
          </w:tcPr>
          <w:p>
            <w:pPr>
              <w:jc w:val="right"/>
              <w:ind w:right="293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24"/>
                <w:szCs w:val="24"/>
                <w:color w:val="auto"/>
              </w:rPr>
            </w:pPr>
          </w:p>
        </w:tc>
      </w:tr>
      <w:tr>
        <w:trPr>
          <w:trHeight w:val="642"/>
        </w:trPr>
        <w:tc>
          <w:tcPr>
            <w:tcW w:w="340" w:type="dxa"/>
            <w:vAlign w:val="bottom"/>
          </w:tcPr>
          <w:p>
            <w:pPr>
              <w:spacing w:after="0"/>
              <w:rPr>
                <w:sz w:val="24"/>
                <w:szCs w:val="24"/>
                <w:color w:val="auto"/>
              </w:rPr>
            </w:pPr>
          </w:p>
        </w:tc>
        <w:tc>
          <w:tcPr>
            <w:tcW w:w="5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11,959</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18,226</w:t>
            </w:r>
          </w:p>
        </w:tc>
        <w:tc>
          <w:tcPr>
            <w:tcW w:w="300" w:type="dxa"/>
            <w:vAlign w:val="bottom"/>
          </w:tcPr>
          <w:p>
            <w:pPr>
              <w:spacing w:after="0"/>
              <w:rPr>
                <w:sz w:val="24"/>
                <w:szCs w:val="24"/>
                <w:color w:val="auto"/>
              </w:rPr>
            </w:pPr>
          </w:p>
        </w:tc>
      </w:tr>
      <w:tr>
        <w:trPr>
          <w:trHeight w:val="858"/>
        </w:trPr>
        <w:tc>
          <w:tcPr>
            <w:tcW w:w="5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0"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8"/>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2"/>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648"/>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64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432"/>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64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432"/>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64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641"/>
        </w:trPr>
        <w:tc>
          <w:tcPr>
            <w:tcW w:w="48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17,328</w:t>
            </w:r>
          </w:p>
        </w:tc>
        <w:tc>
          <w:tcPr>
            <w:tcW w:w="0" w:type="dxa"/>
            <w:vAlign w:val="bottom"/>
          </w:tcPr>
          <w:p>
            <w:pPr>
              <w:spacing w:after="0"/>
              <w:rPr>
                <w:sz w:val="1"/>
                <w:szCs w:val="1"/>
                <w:color w:val="auto"/>
              </w:rPr>
            </w:pPr>
          </w:p>
        </w:tc>
      </w:tr>
      <w:tr>
        <w:trPr>
          <w:trHeight w:val="347"/>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1"/>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648"/>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0" w:type="dxa"/>
            <w:vAlign w:val="bottom"/>
          </w:tcPr>
          <w:p>
            <w:pPr>
              <w:spacing w:after="0"/>
              <w:rPr>
                <w:sz w:val="1"/>
                <w:szCs w:val="1"/>
                <w:color w:val="auto"/>
              </w:rPr>
            </w:pPr>
          </w:p>
        </w:tc>
      </w:tr>
      <w:tr>
        <w:trPr>
          <w:trHeight w:val="64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0" w:type="dxa"/>
            <w:vAlign w:val="bottom"/>
          </w:tcPr>
          <w:p>
            <w:pPr>
              <w:spacing w:after="0"/>
              <w:rPr>
                <w:sz w:val="1"/>
                <w:szCs w:val="1"/>
                <w:color w:val="auto"/>
              </w:rPr>
            </w:pPr>
          </w:p>
        </w:tc>
      </w:tr>
      <w:tr>
        <w:trPr>
          <w:trHeight w:val="432"/>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64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432"/>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641"/>
        </w:trPr>
        <w:tc>
          <w:tcPr>
            <w:tcW w:w="48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37,490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June 30, 2022, 15,000,000 (December 31, 2021 - 15,000,000)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7, 2021, the Company filed a Registration Statement on Form S-1 with respect to the common shares underlying the Public Warrants, as well as the Private Warrants, which was declared effective by the SEC on October 22, 2021. Following the Company’s filing of its Annual Report on Form 10-K for the year ended December 31, 2021, the Company has filed a post-effective amendment to the Registration Statement on Form S-1, which was declared effective by the SEC on July 12, 2022.</w:t>
      </w:r>
    </w:p>
    <w:p>
      <w:pPr>
        <w:sectPr>
          <w:pgSz w:w="11900" w:h="16838" w:orient="portrait"/>
          <w:cols w:equalWidth="0" w:num="1">
            <w:col w:w="9920"/>
          </w:cols>
          <w:pgMar w:left="980" w:top="513" w:right="999"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As at June 30, 2022, the value of outstanding Public Warrants of $19.5 million was recorded in additional paid in capital.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June 30, 2022, 9,500,000 Private Warrants were outstanding (December 31, 2021 - 9,500,000).</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39"/>
          </w:cols>
          <w:pgMar w:left="1320" w:top="12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June 30, 2022, the fair value of outstanding Private Warrants of $2.6 million is recorded as warrants liability. The following table presents the changes in the fair value of warrants liability:</w:t>
      </w:r>
    </w:p>
    <w:p>
      <w:pPr>
        <w:spacing w:after="0" w:line="17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Private</w:t>
      </w:r>
    </w:p>
    <w:p>
      <w:pPr>
        <w:spacing w:after="0" w:line="3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97880" cy="28321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Warrants liability as at December 31, 2021</w:t>
      </w:r>
    </w:p>
    <w:p>
      <w:pPr>
        <w:spacing w:after="0" w:line="9" w:lineRule="exact"/>
        <w:rPr>
          <w:sz w:val="20"/>
          <w:szCs w:val="20"/>
          <w:color w:val="auto"/>
        </w:rPr>
      </w:pPr>
    </w:p>
    <w:p>
      <w:pPr>
        <w:ind w:left="8320"/>
        <w:spacing w:after="0"/>
        <w:tabs>
          <w:tab w:leader="none" w:pos="9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3,126</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Decrease in fair value of warrants liability</w:t>
      </w:r>
    </w:p>
    <w:p>
      <w:pPr>
        <w:spacing w:after="0" w:line="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97880" cy="29146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b w:val="1"/>
          <w:bCs w:val="1"/>
          <w:color w:val="auto"/>
        </w:rPr>
        <w:t>Warrants liability as at June 30, 2022</w:t>
      </w:r>
    </w:p>
    <w:p>
      <w:pPr>
        <w:spacing w:after="0" w:line="9" w:lineRule="exact"/>
        <w:rPr>
          <w:sz w:val="20"/>
          <w:szCs w:val="20"/>
          <w:color w:val="auto"/>
        </w:rPr>
      </w:pPr>
    </w:p>
    <w:p>
      <w:pPr>
        <w:ind w:left="8320"/>
        <w:spacing w:after="0"/>
        <w:tabs>
          <w:tab w:leader="none" w:pos="9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2,584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31750</wp:posOffset>
            </wp:positionV>
            <wp:extent cx="822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June 30, 2022 and December 31, 2021, the fair value of the Private Warrants was estimated using the following assumptions: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2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42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24"/>
                <w:szCs w:val="24"/>
                <w:color w:val="auto"/>
              </w:rPr>
            </w:pP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4"/>
                <w:szCs w:val="24"/>
                <w:color w:val="auto"/>
              </w:rPr>
            </w:pPr>
          </w:p>
        </w:tc>
      </w:tr>
      <w:tr>
        <w:trPr>
          <w:trHeight w:val="43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95.11 %</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64.6 %</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 years</w:t>
            </w:r>
          </w:p>
        </w:tc>
      </w:tr>
      <w:tr>
        <w:trPr>
          <w:trHeight w:val="43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2.96 %</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and six months ended June 30,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Warrants upon successful completion of the pilot trial of the PMTS in the NORI Area D. No expense or liability has been recorded as at and for the three and six months ended June 30, 2022.</w:t>
      </w:r>
    </w:p>
    <w:p>
      <w:pPr>
        <w:spacing w:after="0" w:line="19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June 30, 2022, there were 15,475,638 stock options outstanding under the Company’s Short-Term Incentive Plan (“STIP”) and 9,783,922 stock options outstanding under the Company’s Long-Term Incentive Plan (“LTIP”). During the three and six months ended June 30, 2022, 18,461 STIP stock options were exercised and no new options were granted.</w:t>
      </w:r>
    </w:p>
    <w:p>
      <w:pPr>
        <w:spacing w:after="0" w:line="17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$3.6 million and $7.4 million respectively (three and six months ended June 30, 2021 - $15.4 million and $45.8 million, respectively) of share-based compensation expense for stock options in the statement of loss and comprehensive loss. For the three and six months ended June 30, 2022 a total of $1.9 million and $3.9 million respectively, was recorded in exploration and evaluation expenses (three and six months ended June 30, 2021 - $9.5 million and $27.6 million, respectively). The amount recorded in general and administration expenses for three and six months ended June 30, 2022 was $1.7 million and $3.5 million respectively (three and six months ended June 31, 2021 - $5.9 million and $18.2 million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details of RSUs granted during the three and six months ended June 30, 2022 are described below.</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27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7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64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Immediately</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255,749</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1,713,153</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Vesting in thirds on each anniversary of the grant date</w:t>
            </w:r>
          </w:p>
        </w:tc>
        <w:tc>
          <w:tcPr>
            <w:tcW w:w="8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369,394</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8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Vesting fully on the anniversary of the grant date</w:t>
            </w:r>
          </w:p>
        </w:tc>
        <w:tc>
          <w:tcPr>
            <w:tcW w:w="8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476,189</w:t>
            </w:r>
          </w:p>
        </w:tc>
        <w:tc>
          <w:tcPr>
            <w:tcW w:w="1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476,189</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Out of the 1,713,153 units vesting immediately on grant date, 1,072,572 units were issued to settle liabilities with a carrying amount of $1.8 million at a weighted average grant date fair value of $1.75 per RSU.</w:t>
      </w:r>
    </w:p>
    <w:p>
      <w:pPr>
        <w:spacing w:after="0" w:line="162"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 aggregate of 476,189 RSUs were granted to the Company’s non-employee directors under the Company’s Non-employee Director Compensation Policy, which vest upon the Company’s 2023 annual shareholders meeting. The total fair value of units granted as annual grants to the non-employee directors amounted to $700,000.</w:t>
      </w:r>
    </w:p>
    <w:p>
      <w:pPr>
        <w:spacing w:after="0" w:line="176"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2022, a total of $2.1 million and $4.0 million respectively (three and six months ended June 30, 2021 - $nil) was charged to the statement of loss and comprehensive loss as share-based compensation expense for RSUs. For the three and six months ended June 30, 2022, a total of $1 million and $1.9 million respectively, was recorded in exploration and evaluation expenses (three and six months ended June 30, 2021 - nil). The amount recorded in general and administration expenses for three and six months ended June 30, 2022 was $1.1 million and $2.1 million respectively (three and six months ended June 31, 2021 -$nil). As at June 30, 2022, total unrecognized share-based compensation expense for RSUs was $10.6 million (December 31, 2021 - $12.3 million).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29"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On May 31, 2022, TMC’s 2021 Employee Share Purchase Plan was approved at the Company’s 2022 annual shareholders meeting, including the approval of the issuance of up to 5,254,324 common shares under the ESPP. This included 2,254,324 shares added to the ESPP in January 2022 pursuant to the ESPP’s annual increase provision. As per the annual increase provision on the first day of each of the Company’s fiscal years after 2022, common shares equal to the lesser of (i) 1% percent of the common shares outstanding on the last day of the immediately preceding fiscal year, or (ii) such lesser number of shares as is determined by the Board will be added to the ESPP.</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end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plan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includes the following limitations:</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contribution is limited to 15% of the employee’s annual gross earnings, not to exceed $25,000 per year,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in any offering period cannot exceed 15,000 common shares,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are capped, not to exceed 5% of the Company’s total outstanding common shares</w:t>
      </w:r>
    </w:p>
    <w:p>
      <w:pPr>
        <w:spacing w:after="0" w:line="207"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a total of $23 thousand was charged to the condensed consolidated statement of loss and comprehensive loss out of which a total of $8 thousand was recorded in exploration and evaluation expenses and $15 thousand was recorded in general and administration expenses. The Company issued 42,426 common shares to its employees as part of its ESPP program during the three and six months ended June 30, 2022.</w:t>
      </w:r>
    </w:p>
    <w:p>
      <w:pPr>
        <w:spacing w:after="0" w:line="17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5"/>
        </w:trPr>
        <w:tc>
          <w:tcPr>
            <w:tcW w:w="682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8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64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25,259,560</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5,262,330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18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1"/>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202,854,320</w:t>
            </w:r>
          </w:p>
        </w:tc>
        <w:tc>
          <w:tcPr>
            <w:tcW w:w="1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25,287,670</w:t>
            </w:r>
          </w:p>
        </w:tc>
      </w:tr>
    </w:tbl>
    <w:p>
      <w:pPr>
        <w:spacing w:after="0" w:line="20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DeepGreen Engineering Pte. Ltd., is engaged in a consulting agreement with SSCS Pte. Ltd. (“SSCS”) to manage offshore engineering studies. A director of DGE is employed through SSCS. Consulting services during the three and six months ended June 30, 2022 totaled $69 thousand and $138 thousand (three and six months ended June 30, 2021 - $64 thousand and $138 thousand respectively) out of which for three and six months ended June 30, 2022 a total of $55 thousand $110 thousand, respectively (three and six months ended June 30, 2021 - $51 thousand and $110 thousand, respectively) is disclosed as exploration labor within exploration and evaluation expenses (Note 4) and $14 thousand and $28 thousand respectively for three and six months ended June 30, 2022 is disclosed as general and administration expenses (three and six months ended June 30, 2021 - $13 thousand and $28 thousand respectively). As at June 30, 2022, the amount payable to SSCS was $49 thousand (December 31, 2021 - $23 thousand).</w:t>
      </w:r>
    </w:p>
    <w:p>
      <w:pPr>
        <w:sectPr>
          <w:pgSz w:w="11900" w:h="16838" w:orient="portrait"/>
          <w:cols w:equalWidth="0" w:num="1">
            <w:col w:w="9920"/>
          </w:cols>
          <w:pgMar w:left="980" w:top="513" w:right="999" w:bottom="866"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866"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and six months ended June 30, 2022 amounted to $94 thousand and $188 thousand respectively (three and six months ended June 30, 2021 -$94 thousand and $188 thousand), evenly apportioned between exploration and evaluation expenses (Note 4) and general and administration expenses for three and six months ended June 30, 2022 and June 30, 2021. As at June 30, 2022, the amount payable to Ocean Renaissance was $nil (December 31, 2021 - $nil).</w:t>
      </w:r>
    </w:p>
    <w:p>
      <w:pPr>
        <w:spacing w:after="0" w:line="183" w:lineRule="exact"/>
        <w:rPr>
          <w:sz w:val="20"/>
          <w:szCs w:val="20"/>
          <w:color w:val="auto"/>
        </w:rPr>
      </w:pPr>
    </w:p>
    <w:p>
      <w:pPr>
        <w:ind w:left="340" w:right="6440" w:hanging="332"/>
        <w:spacing w:after="0" w:line="503" w:lineRule="auto"/>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NORI had committed to spend $5 million over the five-year period from 2017 to 2021, which it has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Services Agreement with Marawa with respect to the Marawa Area, Marawa and DGE committed to spend a defined amount of funds on exploration activities on an annual basis. The commitment for fiscal 2022, 2023 and 2024 is Australian dollar (“AUD”) $1 million, AUD $3 million and AUD $2 million, respectively. Such commitment is negotiated with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spent approximately $13.3 million in connection with the TOML Exploration Contract from 2017 to 2021. Discussions with the ISA are underway to review the progress achieved to date and agree on program activities for the next 5-years, at which point the next five-year commitment will be finalized.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of its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Gerard Barron and Scott Leonard</w:t>
      </w:r>
      <w:r>
        <w:rPr>
          <w:rFonts w:ascii="Times New Roman" w:cs="Times New Roman" w:eastAsia="Times New Roman" w:hAnsi="Times New Roman"/>
          <w:sz w:val="18"/>
          <w:szCs w:val="18"/>
          <w:color w:val="auto"/>
        </w:rPr>
        <w:t>. The complaint alleges that all defendants violated Section 10(b)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Inc. </w:t>
      </w:r>
      <w:r>
        <w:rPr>
          <w:rFonts w:ascii="Times New Roman" w:cs="Times New Roman" w:eastAsia="Times New Roman" w:hAnsi="Times New Roman"/>
          <w:sz w:val="18"/>
          <w:szCs w:val="18"/>
          <w:color w:val="auto"/>
        </w:rPr>
        <w:t>These cases have been consolidated. On March 6, 2022, a lead plaintiff was selected. An amended complaint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on May 12, 2022, reflecting substantially similar allegations. The Company denies any allegations of wrongdoing and the Company has filed and served the plaintiff a motion to dismiss on July 12, 2022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15, 2022, the Company announced a private placement financing with 25 accredited investors pursuant to three securities purchase agreements the Company entered into with the investors on August 12, 2022. The Company will issue an aggregate of 37,978,680 common shares to the investors at a price per share of $0.80 ($0.9645 with respect to approximately $100,000 of common shares purchased by the Company’s Chief Executive Officer and Chairman in the private placement financing). The Company expects to receive aggregate gross cash proceeds of approximately $30.4 million this quarter from the private placement and net cash proceeds of approximately $30 million, after deducting placement agent fees and offering expenses. The Company agreed to file a resale registration statement for the common shares issued to the investors in the financing with the SEC on or before September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2021 Annual Report on Form 10-K. This discussion contains forward looking statements and involves numerous risks and uncertainties, including, but not limited to, those described in “Risk Factors” in Item 1A of Part I of the 2021 Annual Report on Form 10-K, as updated and supplemented under the caption “Risk Factors” in Item 1A of Part II of this Quarterly Report on Form 10-Q, as further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six months ended June 30, 2022 and 2021, respectively, present the financial position and results of operations of TMC the metals company Inc. and its consolidated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(“Allseas”), a leading global offshore contractor, which is developing a pilot collection system, which is expected to be modified into an initial smaller-scale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(Glencore subsidiary) facilities and bench-scale hydrometallurgical refining work is being carried out with SGS SA. The near-zero solid waste flowsheet provides a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 Together with Epsilon Carbon, we have recently selected a suitable plant site in India and developed and issued a Request for Proposal for Project Zero Pre-feasibility and Feasibility Study.</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and, subject to regulatory review by the ISA, intend to start commercial production in 2024. To reach our objective,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Second Quarter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some of the major developments that occurred in the second quarter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Pilot Collection System Trials: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Atlantic Deepwater Trials: </w:t>
      </w:r>
      <w:r>
        <w:rPr>
          <w:rFonts w:ascii="Times New Roman" w:cs="Times New Roman" w:eastAsia="Times New Roman" w:hAnsi="Times New Roman"/>
          <w:sz w:val="18"/>
          <w:szCs w:val="18"/>
          <w:color w:val="auto"/>
        </w:rPr>
        <w:t>In May 2022, the pilot collector vehicle underwent extensive testing of its various pumps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critical mobility functions in ultra-deep water in the Atlantic Ocean. Engineers successfully lowered the collector vehicle to depths of 2,470 meters and drove 1,018 meters across the seafloor, in advance of pilot trials in the NORI Area D in the CCZ expected in the second half of 2022.</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Riser &amp; Jumper Trials: </w:t>
      </w:r>
      <w:r>
        <w:rPr>
          <w:rFonts w:ascii="Times New Roman" w:cs="Times New Roman" w:eastAsia="Times New Roman" w:hAnsi="Times New Roman"/>
          <w:sz w:val="18"/>
          <w:szCs w:val="18"/>
          <w:color w:val="auto"/>
        </w:rPr>
        <w:t>In May 2022, the pilot riser system and jumper hose was successfully deployed in the Atlantic Ocean.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Engineers aboard the Hidden Gem deployed the flexible jumper hose, connected it to the base of the riser and then launched the pilot riser, lowering the assembly to a depth of around 650 meters before making a sub-sea connection between the jumper hose and collector vehicle in 745 meters water depth.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Onshore Processing: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SINTEF Manganese Study: </w:t>
      </w:r>
      <w:r>
        <w:rPr>
          <w:rFonts w:ascii="Times New Roman" w:cs="Times New Roman" w:eastAsia="Times New Roman" w:hAnsi="Times New Roman"/>
          <w:sz w:val="18"/>
          <w:szCs w:val="18"/>
          <w:color w:val="auto"/>
        </w:rPr>
        <w:t>In May 2022, we announced that we had retained SINTEF, one of Europe’s leading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institutions, to analyze our manganese silicate product that can be used to produce silicomanganese alloy for steelmaking. SINTEF found that our high-grade nodule-derived manganese silicate, which we estimate could account for approximately one third of potential future revenues, behaves similarly to traditional land-based manganese sources and appears to have significant advantages on cost and carbon dioxide footprint, with the potential for 7 to 17% higher value-in-use, depending on carbon tax regimes.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5" w:lineRule="exact"/>
        <w:rPr>
          <w:sz w:val="20"/>
          <w:szCs w:val="20"/>
          <w:color w:val="auto"/>
        </w:rPr>
      </w:pPr>
    </w:p>
    <w:p>
      <w:pPr>
        <w:jc w:val="both"/>
        <w:ind w:left="660" w:hanging="328"/>
        <w:spacing w:after="0" w:line="26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Impact Report 2021: </w:t>
      </w:r>
      <w:r>
        <w:rPr>
          <w:rFonts w:ascii="Times New Roman" w:cs="Times New Roman" w:eastAsia="Times New Roman" w:hAnsi="Times New Roman"/>
          <w:sz w:val="18"/>
          <w:szCs w:val="18"/>
          <w:color w:val="auto"/>
        </w:rPr>
        <w:t>In May 2022, we published our inaugural Impact Report setting out our motivations for collecting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and providing a forward-looking view of the potential environmental impacts of our expected operations and the efforts underway to potentially eliminate or reduce them.</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Lifecycle Impact Assessment of NORI Area D Project: </w:t>
      </w:r>
      <w:r>
        <w:rPr>
          <w:rFonts w:ascii="Times New Roman" w:cs="Times New Roman" w:eastAsia="Times New Roman" w:hAnsi="Times New Roman"/>
          <w:sz w:val="18"/>
          <w:szCs w:val="18"/>
          <w:color w:val="auto"/>
        </w:rPr>
        <w:t>In April 2022, we announced that we chose the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lithium-ion battery supply chain research firm, Benchmark Mineral Intelligence (“Benchmark”), to conduct an independent lifecycle assessment of the environmental impacts of our planned NORI Area D polymetallic nodule project and compare these impacts to producing the same metals from commonly used production pathways using conventional land ores. Benchmark anticipates completing its comprehensive Lifecycle Impact Assessment for us by the end of the third quarter of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June 30, 2022</w:t>
      </w:r>
    </w:p>
    <w:p>
      <w:pPr>
        <w:spacing w:after="0" w:line="225" w:lineRule="exact"/>
        <w:rPr>
          <w:sz w:val="20"/>
          <w:szCs w:val="20"/>
          <w:color w:val="auto"/>
        </w:rPr>
      </w:pPr>
    </w:p>
    <w:p>
      <w:pPr>
        <w:jc w:val="both"/>
        <w:ind w:left="660" w:hanging="328"/>
        <w:spacing w:after="0" w:line="26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 Zero Research</w:t>
      </w:r>
      <w:r>
        <w:rPr>
          <w:rFonts w:ascii="Times New Roman" w:cs="Times New Roman" w:eastAsia="Times New Roman" w:hAnsi="Times New Roman"/>
          <w:sz w:val="18"/>
          <w:szCs w:val="18"/>
          <w:color w:val="auto"/>
        </w:rPr>
        <w:t>: In July, our Australian subsidiary entered into a research funding agreement with a consortium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led by Australia’s Commonwealth Scientific Industrial Research Organization (CSIRO) to create a framework for the development of an ecosystem-based Environmental Management and Monitoring Plan (EMMP) for our proposed deep-sea polymetallic nodule collection operations in the CCZ.</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NORI Collector Test Environmental Impact Statement (EIS): </w:t>
      </w:r>
      <w:r>
        <w:rPr>
          <w:rFonts w:ascii="Times New Roman" w:cs="Times New Roman" w:eastAsia="Times New Roman" w:hAnsi="Times New Roman"/>
          <w:sz w:val="18"/>
          <w:szCs w:val="18"/>
          <w:color w:val="auto"/>
        </w:rPr>
        <w:t>The Legal and Technical Commission (the “LTC”) reviewed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EIS submitted to the ISA as part of NORI’s program to undertake a test of the collector system during their July 2022 meeting and provided their comments to NORI on July 15, 2022. The LTC noted that while the generic framework and spatial components of the monitoring program described in the EMMP were good, the monitoring program lacked sufficient detail on the overall sampling design and integrated environmental monitoring specifications that the LTC needs to adequately evaluate the accuracy and statistical reliability of the EIS and the Monitoring Plan. As such, the LTC decided that it was unable to recommend to the Secretary-General of the Authority that the EIS be included in the program of activities of NORI until NORI provided more detail on its proposed survey design, the level of benthic sediment plume monitoring, pelagic sampling of biological impacts of the plume discharge, temporal issues of survey timing and duration, and the extent of noise monitoring. NORI submitted its responses to the LTC on July 29, 2022 and it is under review by the LTC. We continue to expect that the planned collector test in the CCZ will commence in the third quarter of 2022, as initially planned.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PIPE Financing: </w:t>
      </w:r>
      <w:r>
        <w:rPr>
          <w:rFonts w:ascii="Times New Roman" w:cs="Times New Roman" w:eastAsia="Times New Roman" w:hAnsi="Times New Roman"/>
          <w:sz w:val="18"/>
          <w:szCs w:val="18"/>
          <w:color w:val="auto"/>
        </w:rPr>
        <w:t>On August 15, 2022, we announced a private placement financing with 25 accredited investors,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securities purchase agreements the Company entered into with the investors on August 12, 2022. We will issue an aggregate of 37,978,680 common shares to the investors at a price per share of $0.80 ($0.9645 with respect to approximately $100,000 of common shares purchased by our Chief Executive Officer and Chairman in the private placement financing). The Company expects to receive aggregate gross cash proceeds of approximately $30.4 million this quarter from the private placement and net proceeds of approximately $30 million, after deducting placement agent fees and offering expenses. The Company agreed to file a resale registration statement for the common shares issued to the investors in the financing with the SEC on or before September 16,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Marawa, an entity owned and sponsored by Kiribati, was granted the Marawa Exploration Contract on May 30, 2012. DGE, our wholly-owned subsidiary, entered into agreements with Marawa and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TOML, our wholly-owned subsidiary, was granted an exploration contract on January 11, 2012 by the ISA and sponsored by the Kingdom of Tonga pursuant to the TOML Exploration Contract . TOML was acquired by us on March 31, 2020 for $32 million from Deep Sea Mining Finance Ltd. (“DSMF”). The TOML Exploration Contract provides TOML with exclusive rights to explore for polymetallic nodules in an area covering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the 2021 Annual Report on Form 10-K, as updated and supplemented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II of this Quarterly Report on Form 10-Q, as further updated and/or supplemented in subsequent filings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Inflation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pre-revenue company, persistent inflation may affect our ultimate cash requirements prior to our ability to begin commercial production.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the global inflation rate has risen sharply. Marine fuel prices and vessel day rates are higher year-over-year and have increased our exploration expenses beyond what we had originally expected. Additionally, we are experiencing higher offshore labor costs through our contractors due to an upturn in the offshore oil and gas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adopting the Task Force on Climate-Related Financial Disclosures recommendations. In our first inaugural impact report published in May 2022, we provided climate-related disclosures and shared how we believe our mission is aligned with supporting a clean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on climate change and create value.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 as disclosed in our 2021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2022, active work comprised the deep-water test of the collector system as well test deployment of the riser system and test connection of the jumper hose to the collector test all deployed by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These tests were all completed successfully without any COVID outbreaks given the pre-departure COVID protocols that Allseas implemented. At the end of the second quarter,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was steaming from the Atlantic to the west coast of North America to commence mobilization for the collector test which is planned to commence in the third quarter 2022.</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 Item 1A of Part I of the 2021 Annual Report on Form 10-K, as updated and supplemented under the caption “Risk Factors” in Item 1A of Part II of this Quarterly Report on Form 10-Q, as further updated and/or supplemented in subsequent filings with the SEC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disclosed in our 2021 Annual Report on Form 10-K, we have restated our financial statements as of and for the three and six-months period ended June 30, 2021 in the accompanying unaudited condensed consolidated financial statements included in this Quarterly Report on Form 10-Q.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restatement resulted from the following items: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invoices for exploration expenses were not appropriately accrued as of June 30, 2021, resulting in a $2.7 million understatement of each of exploration expenses and accounts payable and accrued liabilities as of and for the six-month period ended June 30, 2021;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expensing of options granted in the first quarter of 2021 under the Company’s Short-Term Incentive Plan (“STIP”) based on the grantee’s historical start date with us rather than the grant date of the options on March 4, 2021, as required by US Generally Accepted Accounting Principles (“US GAAP”), resulting in a $1.8 million overstatement of stock-based compensation expenses as of and for the three-month period ended March 31, 2021, and $0.3 million understatement and $1.5 million overstatement of stock-based compensation expenses as of and for the six month period ended June 30,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$12.4 million and $33.5 million for the three and six months ended June 30, 2022, respectively, compared to a net loss of $29.1 million and $84.9 million in the same periods of 2021, respectively. We have an accumulated deficit of approximately $337.7 million from inception through June 30,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2025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 the first half of 2021 resulted from our financing transactions, specifically the convertible debentures issued in February 2021, which accrued interest at 7% per annum. The convertible debentures were fully converted into DeepGreen common shares on September 9, 2021. Interest income recorded in the first half of 2022 resulted from the interest earned on the funds we received from the Business Combination which closed in September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reported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six months ended June 30, 2022 and 2021. Our accounting policies are described in Note 3 “Summary of Significant Accounting Policies” in our financial statements filed as part of the 2021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7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as noted)</w:t>
            </w:r>
          </w:p>
        </w:tc>
        <w:tc>
          <w:tcPr>
            <w:tcW w:w="188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5"/>
                <w:szCs w:val="15"/>
                <w:color w:val="auto"/>
              </w:rPr>
            </w:pPr>
          </w:p>
        </w:tc>
      </w:tr>
      <w:tr>
        <w:trPr>
          <w:trHeight w:val="212"/>
        </w:trPr>
        <w:tc>
          <w:tcPr>
            <w:tcW w:w="45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173"/>
        </w:trPr>
        <w:tc>
          <w:tcPr>
            <w:tcW w:w="4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(Restated)   % Change</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4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419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41973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$ 18,226</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28"/>
                <w:szCs w:val="28"/>
                <w:color w:val="auto"/>
                <w:vertAlign w:val="subscript"/>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$ 17,328</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$ 56,333</w:t>
            </w:r>
          </w:p>
        </w:tc>
        <w:tc>
          <w:tcPr>
            <w:tcW w:w="14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r>
              <w:rPr>
                <w:rFonts w:ascii="Times New Roman" w:cs="Times New Roman" w:eastAsia="Times New Roman" w:hAnsi="Times New Roman"/>
                <w:sz w:val="28"/>
                <w:szCs w:val="28"/>
                <w:color w:val="auto"/>
                <w:vertAlign w:val="subscript"/>
              </w:rPr>
              <w:t>%</w:t>
            </w:r>
          </w:p>
        </w:tc>
      </w:tr>
      <w:tr>
        <w:trPr>
          <w:trHeight w:val="63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28"/>
                <w:szCs w:val="28"/>
                <w:color w:val="auto"/>
                <w:vertAlign w:val="subscript"/>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14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8"/>
                <w:szCs w:val="28"/>
                <w:color w:val="auto"/>
                <w:vertAlign w:val="subscript"/>
              </w:rPr>
              <w:t>%</w:t>
            </w:r>
          </w:p>
        </w:tc>
      </w:tr>
      <w:tr>
        <w:trPr>
          <w:trHeight w:val="64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(5,730)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r>
      <w:tr>
        <w:trPr>
          <w:trHeight w:val="64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r>
              <w:rPr>
                <w:rFonts w:ascii="Times New Roman" w:cs="Times New Roman" w:eastAsia="Times New Roman" w:hAnsi="Times New Roman"/>
                <w:sz w:val="28"/>
                <w:szCs w:val="28"/>
                <w:color w:val="auto"/>
                <w:vertAlign w:val="subscript"/>
              </w:rPr>
              <w:t>%</w:t>
            </w:r>
          </w:p>
        </w:tc>
        <w:tc>
          <w:tcPr>
            <w:tcW w:w="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8"/>
                <w:szCs w:val="28"/>
                <w:color w:val="auto"/>
                <w:vertAlign w:val="subscript"/>
              </w:rPr>
              <w:t>%</w:t>
            </w:r>
          </w:p>
        </w:tc>
      </w:tr>
      <w:tr>
        <w:trPr>
          <w:trHeight w:val="648"/>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r>
              <w:rPr>
                <w:rFonts w:ascii="Times New Roman" w:cs="Times New Roman" w:eastAsia="Times New Roman" w:hAnsi="Times New Roman"/>
                <w:sz w:val="28"/>
                <w:szCs w:val="28"/>
                <w:color w:val="auto"/>
                <w:vertAlign w:val="subscript"/>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r>
              <w:rPr>
                <w:rFonts w:ascii="Times New Roman" w:cs="Times New Roman" w:eastAsia="Times New Roman" w:hAnsi="Times New Roman"/>
                <w:sz w:val="28"/>
                <w:szCs w:val="28"/>
                <w:color w:val="auto"/>
                <w:vertAlign w:val="subscript"/>
              </w:rPr>
              <w:t>%</w:t>
            </w:r>
          </w:p>
        </w:tc>
      </w:tr>
      <w:tr>
        <w:trPr>
          <w:trHeight w:val="20"/>
        </w:trPr>
        <w:tc>
          <w:tcPr>
            <w:tcW w:w="4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4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$ 29,140</w:t>
            </w: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28"/>
                <w:szCs w:val="28"/>
                <w:color w:val="auto"/>
                <w:vertAlign w:val="subscript"/>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$ 33,501</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$ 84,850</w:t>
            </w:r>
          </w:p>
        </w:tc>
        <w:tc>
          <w:tcPr>
            <w:tcW w:w="14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8"/>
                <w:szCs w:val="28"/>
                <w:color w:val="auto"/>
                <w:vertAlign w:val="subscript"/>
              </w:rPr>
              <w:t>%</w:t>
            </w: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7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77"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$12.4 million in the second quarter of 2022, compared to $29.1 million in the same period of 2021. The following explains the major reasons for the reduction in the net loss in the second quarter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June 30, 2022 were $10.0 million, compared to $18.2 million for the same period in 2021. The decrease of $8.2 million was primarily due a decrease in offshore campaign costs of $4.5 million, due to the completion of the NORI Area D baseline campaigns in the fourth quarter of 2021 and a reduction in share-based compensation of $6.5 million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Work on the PMTS progressed in the second quarter of 2022 resulting in increased PMTS expenses of $1.3 million, which partially offset the above expense reductions.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three months ended June 30, 2022 were $8.3 million compared to $10.4 million for the same period in 2021. The decrease of $2.1 million in G&amp;A expenses was mainly the result of lower share-based compensation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This decrease was partially offset by higher G&amp;A expenses in the second quarter of 2022, reflecting an increase in personnel, legal and other expenses associated with being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second quarter of 2022 resulted in a credit of $5.7 million. The credit was primarily due to a 67% decrease in the price of our warrants in the second quarter of 2022. The warrants liability was initially recorded as part of the Business Combination and therefore did not exist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$33.5 million in the first half of 2022, compared to $84.9 million in the same period of 2021. The following explains the major reasons for the reduction in the net loss in the first half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six months ended June 30, 2022 were $17.3 million, compared to $56.3 million for the same period in 2021. The decrease of $39 million was primarily due to a decrease in offshore campaign costs of $20.9 million, due to the completion of the NORI Area D baseline campaigns in the fourth quarter of 2021. The first half of 2021 offshore campaign costs included a fair value increase of $12.2 million that was recognized on the issuance of DeepGreen common shares to Maersk Supply Service A/S (“Maersk”). The decrease in the first half of 2022 also reflects a reduction in share-based compensation of $21.7 million, as a significant number of stock options were awarded in March 2021, in recognition of past services and in anticipation of the Business Combination, while no stock options were awarded in the first half of 2022. Work on the PMTS progressed in the first half of 2022 resulting in increased PMTS expenses of $2.6 million, which partially offset the above expense reductions.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G&amp;A expenses for the six months ended June 30, 2022 were $16.9 million compared to $27.8 million for the same period in 2021. The decrease of $10.9 million in G&amp;A expenses in the first half of 2022 was mainly the result of lower share-based compensation in the 2022 period as the first half of 2021 included the award of a significant number of stock options in recognition of past services and in anticipation of the Business Combination. This decrease was partially offset by higher G&amp;A expenses in the first half of 2022, reflecting an increase in personnel, legal and other expenses associated with being a public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first half of 2022 resulted in a credit of $0.5 million. The credit was primarily due to a 28% decrease in the price of our warrants in the first half of 2022. The warrants liability was initially recorded as part of the Business Combination and therefore did not exist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$137.6 million ($104.5 million net of transaction fees). As of June 30, 2022, we had cash on hand of $46.3 million.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including the expected proceeds from the financing we announced in August 2022,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and we may need cash resources in this period in addition to the recently announced financing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will need and expect to seek additional financing to fund our operations beyond the next twelve months and to reach potential commercial production through additional public or private equity, debt financings, equity-linked financings or other sources, including through non-dilutive asset- or project-based financings. If these financing or other financing sources are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Six Months Ended June 30, 2022 and June 30,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6080" w:type="dxa"/>
            <w:vAlign w:val="bottom"/>
            <w:gridSpan w:val="2"/>
          </w:tcPr>
          <w:p>
            <w:pPr>
              <w:jc w:val="right"/>
              <w:ind w:right="5328"/>
              <w:spacing w:after="0"/>
              <w:rPr>
                <w:sz w:val="20"/>
                <w:szCs w:val="20"/>
                <w:color w:val="auto"/>
              </w:rPr>
            </w:pPr>
            <w:r>
              <w:rPr>
                <w:rFonts w:ascii="Times New Roman" w:cs="Times New Roman" w:eastAsia="Times New Roman" w:hAnsi="Times New Roman"/>
                <w:sz w:val="14"/>
                <w:szCs w:val="14"/>
                <w:color w:val="auto"/>
              </w:rPr>
              <w:t>(thousands)</w:t>
            </w:r>
          </w:p>
        </w:tc>
        <w:tc>
          <w:tcPr>
            <w:tcW w:w="16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5"/>
                <w:szCs w:val="15"/>
                <w:color w:val="auto"/>
              </w:rPr>
            </w:pPr>
          </w:p>
        </w:tc>
        <w:tc>
          <w:tcPr>
            <w:tcW w:w="146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320" w:type="dxa"/>
            <w:vAlign w:val="bottom"/>
          </w:tcPr>
          <w:p>
            <w:pPr>
              <w:spacing w:after="0"/>
              <w:rPr>
                <w:sz w:val="12"/>
                <w:szCs w:val="12"/>
                <w:color w:val="auto"/>
              </w:rPr>
            </w:pPr>
          </w:p>
        </w:tc>
        <w:tc>
          <w:tcPr>
            <w:tcW w:w="76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tcBorders>
              <w:top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2021 Restated</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tcBorders>
              <w:top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2021 Restated</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62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(22,594)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(38,123)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43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w:t>
            </w:r>
          </w:p>
        </w:tc>
      </w:tr>
      <w:tr>
        <w:trPr>
          <w:trHeight w:val="6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(22,768)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$38.1 million, attributable to a net loss of $33.5 million and an increase in net operating assets and liabilities of $17.0 million, partially offset by non-cash adjustments of $12.4 million. Non-cash adjustments primarily consisted of $12.7 million of expenses settled with share-based payments, partially offset by $0.5 million related to the decrease in the fair value of the Private Warrants, mainly as a result of the decrease in our share price during the first half of 2022. The increase in our net operating assets and liabilities was primarily due to a $15.9 million decrease in accounts payable and accrued liabilities in the 2022 period due to the timing of supplier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$0.3 million for the purchase of equipment, as compared to $3.8 million in the first half of 2021, which related to the initial payments made to DSMF in connection with our acquisition of TOML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nil, compared to $28.6 million provided by financing activities in the first half of 2021, which consisted of $26.0 million from the issuance of convertible debentures in February 2021 and $2.6 million from the exercise of incentive stock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15, 2022, we announced a private placement financing with 25 accredited investors, including our Chief Executive Officer and Chairman Gerard Barron and ERAS Capital LLC, which is the investment fund of our director Andrei Karkar. Pursuant to three securities purchase agreements we entered into on August 12, 2022, we will issue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The Company expects to receive aggregate gross cash proceeds of approximately $30.4 million from the private placement this quarter and net cash proceeds of approximately $30 million, after deducting placement agent fees and offering expenses. The Company agreed to file a resale registration statement for the common shares issued to the investors in the financing with the SEC on or before September 16,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significantly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through the issuance of the Company’s shares.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our progress to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between Marawa and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 The ISA is currently reviewing the periodic report, which includes the next 5-year program of work, at which point the next five-year commitment will be finalized.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will pay an administration fee each year to Tonga for such administration and sponsorship, which is subject to review and increase in the event TOML is granted an ISA exploitation contract. On September 23, 2021, Tonga updated the TOML Sponsorship Agreement harmonizing the terms of its engagement with TOML with those held by NORI with Nauru.</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The pilot nodule collection system developed and currently being tested by Allseas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Hidden Gem,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made the second $10 million payment to Allseas under the PMTA on April 25, 2022, following the successful completion of the North Sea drive test. The third and final $10 million payment to Allseas will be due upon successful completion of the pilot trial of the PMTS in NORI Area D which is expected in the fourth quarter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2021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to the condensed consolidated interim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(the “2020 Annual Report on Form 10-K/A”) and (ii) the other material weakness described below that we are in the process of remediating, our disclosure controls and procedures were not effective as of June 30,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with the SEC on November 15, 2021. These misstatements resulted in the Company having to restate its unaudited condensed consolidated interim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previously disclosed in the 2020 Annual Report on Form 10-K/A,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these material weaknesses, management has concluded that our unaudited condensed consolidated interim financial statements included in this Quarterly Report on Form 10-Q are fairly stated in all material respects in accordance with U.S. GAAP for each of the periods presented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taken the following remediation measures to date:</w:t>
      </w:r>
    </w:p>
    <w:p>
      <w:pPr>
        <w:spacing w:after="0" w:line="225" w:lineRule="exact"/>
        <w:rPr>
          <w:sz w:val="20"/>
          <w:szCs w:val="20"/>
          <w:color w:val="auto"/>
        </w:rPr>
      </w:pPr>
    </w:p>
    <w:p>
      <w:pPr>
        <w:ind w:left="4880" w:right="3260" w:hanging="4548"/>
        <w:spacing w:after="0" w:line="783" w:lineRule="auto"/>
        <w:tabs>
          <w:tab w:leader="none" w:pos="6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to oversee the finance and accounting function;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transition from our outsourced accounting service provider to our in-house finance and accounting function;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a project to design and implement robust controls over all our key processes and address all key company risks;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formality and rigor to our financial reporting process by continuously developing structured roles, policies, processes, procedures and controls.</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and six months ended June 30, 2022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September 20, 2021, we commenced litigation in the New York Superior Court, New York County against two investors who failed to fund their commitments pursuant to subscription agreements entered into in connection with the expected private placement in connection with the closing of the Business Combination. These actions are captioned </w:t>
      </w:r>
      <w:r>
        <w:rPr>
          <w:rFonts w:ascii="Times New Roman" w:cs="Times New Roman" w:eastAsia="Times New Roman" w:hAnsi="Times New Roman"/>
          <w:sz w:val="18"/>
          <w:szCs w:val="18"/>
          <w:i w:val="1"/>
          <w:iCs w:val="1"/>
          <w:color w:val="auto"/>
        </w:rPr>
        <w:t>Sustainable Opportunities Acquisition Corp. n/k/a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TMC the metals company Inc. v. Ethos Fund I, LP, Ethos GP, LLC, Ethos DeepGreen PIPE, LLC, and Ethos Manager, LLC, </w:t>
      </w:r>
      <w:r>
        <w:rPr>
          <w:rFonts w:ascii="Times New Roman" w:cs="Times New Roman" w:eastAsia="Times New Roman" w:hAnsi="Times New Roman"/>
          <w:sz w:val="18"/>
          <w:szCs w:val="18"/>
          <w:color w:val="auto"/>
        </w:rPr>
        <w:t>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655527/2021 (N.Y. Sup. Ct.) and </w:t>
      </w:r>
      <w:r>
        <w:rPr>
          <w:rFonts w:ascii="Times New Roman" w:cs="Times New Roman" w:eastAsia="Times New Roman" w:hAnsi="Times New Roman"/>
          <w:sz w:val="18"/>
          <w:szCs w:val="18"/>
          <w:i w:val="1"/>
          <w:iCs w:val="1"/>
          <w:color w:val="auto"/>
        </w:rPr>
        <w:t>Sustainable Opportunities Acquisition Corp. n/k/a TMC the metals company Inc. v. Ramas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LLC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Ramas Energy Opportunities I, LP, Ramas Energy Opportunities I GP, LLC, and Ganesh Betanabhatla</w:t>
      </w:r>
      <w:r>
        <w:rPr>
          <w:rFonts w:ascii="Times New Roman" w:cs="Times New Roman" w:eastAsia="Times New Roman" w:hAnsi="Times New Roman"/>
          <w:sz w:val="18"/>
          <w:szCs w:val="18"/>
          <w:color w:val="auto"/>
        </w:rPr>
        <w:t>, 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us and certain of our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Gerard Barron and Scott Leonard</w:t>
      </w:r>
      <w:r>
        <w:rPr>
          <w:rFonts w:ascii="Times New Roman" w:cs="Times New Roman" w:eastAsia="Times New Roman" w:hAnsi="Times New Roman"/>
          <w:sz w:val="18"/>
          <w:szCs w:val="18"/>
          <w:color w:val="auto"/>
        </w:rPr>
        <w:t>. The complaint alleges that all defendants violated Section 10(b) of the Exchange Act of 1934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 TMC the Metals Company, Inc. </w:t>
      </w:r>
      <w:r>
        <w:rPr>
          <w:rFonts w:ascii="Times New Roman" w:cs="Times New Roman" w:eastAsia="Times New Roman" w:hAnsi="Times New Roman"/>
          <w:sz w:val="18"/>
          <w:szCs w:val="18"/>
          <w:color w:val="auto"/>
        </w:rPr>
        <w:t>These cases have been consolidated. On March 6, 2022, a lead plaintiff was selected. An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 was filed on May 12, 2022, reflecting substantially similar allegations. We deny any allegations of wrongdoing and have filed and served the plaintiff a motion to dismiss on July 12, 2022 and intend to defend against this lawsuit.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information regarding certain factors that could materially affect our business, consolidated financial condition or results of operations set forth under Item 1A. Risk Factors in our 2021 Annual Report on Form 10-K. There have been no material changes from or additions to the risk factors disclosed in our 2021 Annual Report on Form 10-K, other than with respect to the risk factors set forth below. We may disclose changes to risk factors or additional factors from time to time in our future filings with the SEC.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capital. We expect to incur significant expenses and operating losses for the foreseeable future, particularly as we advance towards our application to the ISA for an exploitation contract and preparation for potential commercialization. The continuing exploration and development of the NORI, TOML and Marawa contract areas, however, will depend upon our ability to obtain dilutive and/or non-dilutive financing through debt financing, equity financing, joint ventures, or other means. Additionally, the actual amount of capital raised for our projects may vary materially from our current estimates. Although based on our cash balance, including the expected proceeds from the financing we announced in August 2022, we believe we will have sufficient funds to meet our obligations that become due within the next twelve months. If we do not receive the full amount of the expected proceeds from the financing we announced in August 2022, we may not be able to fund our operations for this period and we may need to raise additional funds sooner than expected, which could have an adverse effect on our business and an investment in our company. Even with the financing we announced in August 2022, we currently expect that we will raise additional funds to finance our operations to potential commercialization.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 Many groups, including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indebtedness on favorable terms. Any debt financing or asset- or project-based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which may have an impact on our ability to obtain additional funding.</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 including the Nasdaq’s minimum closing bid price.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the Nasdaq Global Select Market under the symbols “TMC” and “TMCWW,” respectively. The Nasdaq has qualitative and quantitative listing criteria. If we are unable to meet any of the Nasdaq listing requirements in the future, including, for example, if the closing bid price for our common shares falls below $1.00 per share for 30 consecutive trading days, Nasdaq could determine to delist our common stock. If in the future Nasdaq delists our common shares from trading on its exchange for failure to meet the listing standards, we and our securityholders could face significant material adverse consequences including:</w:t>
      </w:r>
    </w:p>
    <w:p>
      <w:pPr>
        <w:spacing w:after="0" w:line="187"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deterrent for broker-dealers making a market in or otherwise seeking or generating interest in our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deterrent for certain institutions and persons from investing in our securities at all;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closing bid price of our common shares was below the minimum $1.00 per share beginning on July 6, 2022 and has not been above $1.00 per share since. The closing bid price of our common shares on August 12, 2022 was $0.9987 per share. If our common shares do not achieve a closing bid price of at least $1.00 by August 16, 2022, we expect to receive a notification from the Nasdaq Stock Market that for the preceding 30 consecutive trading days, the closing bid price of our common shares was below $1.00 per share.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review NORI’s plans of work for the commercial exploitation of polymetallic nodules. Although we believe that the notice submitted by Nauru to the ISA has increased the likelihood that regulations will be adopted that will govern and enable commercial development of polymetallic nodules by mid-2023, there can be no assurances that the adoption of these regulations will not be delayed or halted as a result of the actions of other member states in the ISA.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 There can be no assurance that the ISA will provisionally approve our plan of work or that such provisional approval would lead to the issuance of an exploitation contract by the ISA.</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 At the moment, our wholly owned subsidiary NORI has submitted an EIS in respect of the collector test that NORI intends to perform in the CCZ in the third quarter of 2022. NORI has received comments from the ISA requesting additional detail on certain technical matters including overall sampling design and specifications to be provided for the ISA’s review. While NORI submitted its response to the ISA on July 29, 2022, there can be no guarantee that the ISA will complete its review of NORI’s responses in a timely manner or at all. The NORI EIS for the collector test is an integral component of the program of activities required for NORI to complete to be eligible to submit an application for an exploitation contract for approval by the ISA.</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or at all. Even if the ISA timely evaluates such applications(s), our subsidiaries may be required to submit a supplementary EIS or perform additional studies or campaigns before obtaining approval. As such, there is a risk that an ISA Exploitation Contract may not be granted by the ISA, may not be granted on a timely basis, or may be granted on uneconomic terms thereby delaying our potential timeline for commercial exploitation.</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control,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Our work with this third party is ongoing, but there can be no assurance that we will be able to continue to work with this third party, or another third party, on acceptable terms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at August 12, 2022, we had 227,158,455 common shares and 24,500,000 warrants to acquire common shares issued and outstanding, which does not include the 37,978,680 common shares issuable in the private placement financing we announced in August 2022.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33,699,685 common shares are reserved for issuance under the TMC Incentive Equity Plan, including 9,017,299 shares added to the plan in January 2022 pursuant to the plan’s evergreen provision, and 5,254,324 common shares are reserved for issuance under our 2021 Employee Stock Purchase Plan,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private placement financing, upon exercise of warrants, upon conversion of the Special Shares or under the TMC Incentive Equity Plan, or the 2021 Employee Stock Purchase Plan or other equity incentive plans that we may adopt in the future, would dilute the percentage ownership held by you.</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the Company will decrease;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became exercisable for our common shares beginning on October 9, 2021, which if exercised, will increase the number of shares eligible for future resale in the public market and result in dilution to our shareholders. You will likely experience further dilution if we issue common shares in future financing transactions.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common shares at an exercise price of $11.50 per share. In certain circumstances, the Public Warrants and Private Warrants may be exercised on a cashless basis and the proceeds from the exercise of such warrants will decrease. To the extent such warrants are exercised, additional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to August 12, 2022, the price of our Common Shares has ranged from a high of $12.45 to a low of $0.81 and as of August 12, 2022, the closing price of our Common Shares was $0.9987. Based on the current trading price of our Common Shares we do not expect to receive any proceeds from exercise of the Public Warrants and Private Warrants unless there is a significant increase in the price of our Common Shares.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August 12,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will be in the money following the time they become exercisable, the holders of the warrants are not obligated to exercise their warrants, and we cannot predict whether holders of the warrants will choose to exercise all or any of their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Sustainable Opportunities Acquisition Corp., Gerard Barron and Scott Leonard</w:t>
      </w:r>
      <w:r>
        <w:rPr>
          <w:rFonts w:ascii="Times New Roman" w:cs="Times New Roman" w:eastAsia="Times New Roman" w:hAnsi="Times New Roman"/>
          <w:sz w:val="18"/>
          <w:szCs w:val="18"/>
          <w:color w:val="auto"/>
        </w:rPr>
        <w:t>. The complaint alleges that all defendants violated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On March 6, 2022, a lead plaintiff was selected. An amended complaint was filed on May 12, 2022, reflecting substantially similar allegations. We deny any allegations of wrongdoing and we have filed and served the plaintiff a motion to dismiss on July 12, 2022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w:t>
      </w:r>
      <w:r>
        <w:rPr>
          <w:rFonts w:ascii="Times New Roman" w:cs="Times New Roman" w:eastAsia="Times New Roman" w:hAnsi="Times New Roman"/>
          <w:sz w:val="18"/>
          <w:szCs w:val="18"/>
          <w:i w:val="1"/>
          <w:iCs w:val="1"/>
          <w:color w:val="auto"/>
        </w:rPr>
        <w:t>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n/k/a TMC the metals company Inc. v. Ethos Fund I, LP, Ethos GP, LLC, Ethos DeepGreen PIPE, LLC, and Ethos Manager, LLC</w:t>
      </w:r>
      <w:r>
        <w:rPr>
          <w:rFonts w:ascii="Times New Roman" w:cs="Times New Roman" w:eastAsia="Times New Roman" w:hAnsi="Times New Roman"/>
          <w:sz w:val="18"/>
          <w:szCs w:val="18"/>
          <w:color w:val="auto"/>
        </w:rPr>
        <w:t>, Index No. 655527/2021 (N.Y. Sup. Ct.) and</w:t>
      </w:r>
      <w:r>
        <w:rPr>
          <w:rFonts w:ascii="Times New Roman" w:cs="Times New Roman" w:eastAsia="Times New Roman" w:hAnsi="Times New Roman"/>
          <w:sz w:val="18"/>
          <w:szCs w:val="18"/>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Times New Roman" w:cs="Times New Roman" w:eastAsia="Times New Roman" w:hAnsi="Times New Roman"/>
          <w:sz w:val="18"/>
          <w:szCs w:val="18"/>
          <w:color w:val="auto"/>
        </w:rPr>
        <w:t>, Index No. 655528/2021 (N.Y. Sup. Ct.). The operative complaints allege that the investors breached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offerings held by Canadian Owners will be freely transferable by the Canadian Owners.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did not repurchase any of our equity securities during the three and six months ended June 30, 2022.</w:t>
      </w:r>
    </w:p>
    <w:p>
      <w:pPr>
        <w:spacing w:after="0" w:line="23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2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Incorporated by Reference Herein from Form or</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Reg.</w:t>
            </w:r>
          </w:p>
        </w:tc>
        <w:tc>
          <w:tcPr>
            <w:tcW w:w="0" w:type="dxa"/>
            <w:vAlign w:val="bottom"/>
          </w:tcPr>
          <w:p>
            <w:pPr>
              <w:spacing w:after="0"/>
              <w:rPr>
                <w:sz w:val="1"/>
                <w:szCs w:val="1"/>
                <w:color w:val="auto"/>
              </w:rPr>
            </w:pPr>
          </w:p>
        </w:tc>
      </w:tr>
      <w:tr>
        <w:trPr>
          <w:trHeight w:val="17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60" w:type="dxa"/>
            <w:vAlign w:val="bottom"/>
            <w:gridSpan w:val="2"/>
            <w:vMerge w:val="continue"/>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1"/>
        </w:trPr>
        <w:tc>
          <w:tcPr>
            <w:tcW w:w="7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Certification of the Principal</w:t>
            </w: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20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pursuant to</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 of the Sarbanes-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Certification of the Principal</w:t>
            </w:r>
          </w:p>
        </w:tc>
        <w:tc>
          <w:tcPr>
            <w:tcW w:w="11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pursuant to</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of the Sarbanes-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Certifications of the Chief</w:t>
            </w:r>
          </w:p>
        </w:tc>
        <w:tc>
          <w:tcPr>
            <w:tcW w:w="112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and Chief</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 pursuant to</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906 of the Sarbanes-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w:t>
            </w:r>
          </w:p>
        </w:tc>
        <w:tc>
          <w:tcPr>
            <w:tcW w:w="11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 (the instance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 does not appear in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Interactive Data File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because its XBRL tags are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112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11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Calculation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112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Definition Linkbase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11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Label Linkbase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firstLine="8"/>
        <w:spacing w:after="0" w:line="261" w:lineRule="auto"/>
        <w:tabs>
          <w:tab w:leader="none" w:pos="1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c>
          <w:tcPr>
            <w:tcW w:w="60" w:type="dxa"/>
            <w:vAlign w:val="bottom"/>
          </w:tcPr>
          <w:p>
            <w:pPr>
              <w:spacing w:after="0"/>
              <w:rPr>
                <w:sz w:val="16"/>
                <w:szCs w:val="16"/>
                <w:color w:val="auto"/>
              </w:rPr>
            </w:pPr>
          </w:p>
        </w:tc>
      </w:tr>
      <w:tr>
        <w:trPr>
          <w:trHeight w:val="234"/>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2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c>
          <w:tcPr>
            <w:tcW w:w="60" w:type="dxa"/>
            <w:vAlign w:val="bottom"/>
          </w:tcPr>
          <w:p>
            <w:pPr>
              <w:spacing w:after="0"/>
              <w:rPr>
                <w:sz w:val="16"/>
                <w:szCs w:val="16"/>
                <w:color w:val="auto"/>
              </w:rPr>
            </w:pPr>
          </w:p>
        </w:tc>
      </w:tr>
      <w:tr>
        <w:trPr>
          <w:trHeight w:val="234"/>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3260" w:type="dxa"/>
            <w:vAlign w:val="bottom"/>
          </w:tcPr>
          <w:p>
            <w:pPr>
              <w:spacing w:after="0"/>
              <w:rPr>
                <w:sz w:val="24"/>
                <w:szCs w:val="24"/>
                <w:color w:val="auto"/>
              </w:rPr>
            </w:pPr>
          </w:p>
        </w:tc>
        <w:tc>
          <w:tcPr>
            <w:tcW w:w="31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46</w:t>
            </w:r>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3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26"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656"/>
        <w:spacing w:after="0" w:line="266"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15d-15(a)];</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firstLine="656"/>
        <w:spacing w:after="0" w:line="266" w:lineRule="auto"/>
        <w:tabs>
          <w:tab w:leader="none" w:pos="1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15d-15(a)];</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August 15, 2022</w:t>
      </w:r>
      <w:r>
        <w:rPr>
          <w:sz w:val="20"/>
          <w:szCs w:val="20"/>
          <w:color w:val="auto"/>
        </w:rPr>
        <w:tab/>
      </w:r>
      <w:r>
        <w:rPr>
          <w:rFonts w:ascii="Times New Roman" w:cs="Times New Roman" w:eastAsia="Times New Roman" w:hAnsi="Times New Roman"/>
          <w:sz w:val="17"/>
          <w:szCs w:val="17"/>
          <w:color w:val="auto"/>
        </w:rPr>
        <w:t>/s/ Gerard Barron</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August 15, 2022</w:t>
      </w:r>
      <w:r>
        <w:rPr>
          <w:sz w:val="20"/>
          <w:szCs w:val="20"/>
          <w:color w:val="auto"/>
        </w:rPr>
        <w:tab/>
      </w:r>
      <w:r>
        <w:rPr>
          <w:rFonts w:ascii="Times New Roman" w:cs="Times New Roman" w:eastAsia="Times New Roman" w:hAnsi="Times New Roman"/>
          <w:sz w:val="17"/>
          <w:szCs w:val="17"/>
          <w:color w:val="auto"/>
        </w:rPr>
        <w:t>/s/ Craig Shesky</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Roman"/>
      <w:start w:val="4"/>
    </w:lvl>
  </w:abstractNum>
  <w:abstractNum w:abstractNumId="1">
    <w:nsid w:val="333AB105"/>
    <w:multiLevelType w:val="hybridMultilevel"/>
    <w:lvl w:ilvl="0">
      <w:lvlJc w:val="left"/>
      <w:lvlText w:val="(%1)"/>
      <w:numFmt w:val="lowerRoman"/>
      <w:start w:val="9"/>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lvl w:ilvl="1">
      <w:lvlJc w:val="left"/>
      <w:lvlText w:val="●"/>
      <w:numFmt w:val="bullet"/>
      <w:start w:val="1"/>
    </w:lvl>
  </w:abstractNum>
  <w:abstractNum w:abstractNumId="12">
    <w:nsid w:val="54E49EB4"/>
    <w:multiLevelType w:val="hybridMultilevel"/>
    <w:lvl w:ilvl="0">
      <w:lvlJc w:val="left"/>
      <w:lvlText w:val="%1."/>
      <w:numFmt w:val="decimal"/>
      <w:start w:val="3"/>
    </w:lvl>
  </w:abstractNum>
  <w:abstractNum w:abstractNumId="13">
    <w:nsid w:val="71F32454"/>
    <w:multiLevelType w:val="hybridMultilevel"/>
    <w:lvl w:ilvl="0">
      <w:lvlJc w:val="left"/>
      <w:lvlText w:val="%1."/>
      <w:numFmt w:val="decimal"/>
      <w:start w:val="4"/>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1."/>
      <w:numFmt w:val="decimal"/>
      <w:start w:val="6"/>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7"/>
    </w:lvl>
  </w:abstractNum>
  <w:abstractNum w:abstractNumId="18">
    <w:nsid w:val="8138641"/>
    <w:multiLevelType w:val="hybridMultilevel"/>
    <w:lvl w:ilvl="0">
      <w:lvlJc w:val="left"/>
      <w:lvlText w:val="%1."/>
      <w:numFmt w:val="decimal"/>
      <w:start w:val="8"/>
    </w:lvl>
  </w:abstractNum>
  <w:abstractNum w:abstractNumId="19">
    <w:nsid w:val="1E7FF521"/>
    <w:multiLevelType w:val="hybridMultilevel"/>
    <w:lvl w:ilvl="0">
      <w:lvlJc w:val="left"/>
      <w:lvlText w:val="%1."/>
      <w:numFmt w:val="decimal"/>
      <w:start w:val="9"/>
    </w:lvl>
  </w:abstractNum>
  <w:abstractNum w:abstractNumId="20">
    <w:nsid w:val="7C3DBD3D"/>
    <w:multiLevelType w:val="hybridMultilevel"/>
    <w:lvl w:ilvl="0">
      <w:lvlJc w:val="left"/>
      <w:lvlText w:val="%1."/>
      <w:numFmt w:val="decimal"/>
      <w:start w:val="10"/>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5"/>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2022-08-15T16:19:05Z</dcterms:created>
  <dcterms:modified xsi:type="dcterms:W3CDTF">2022-08-15T16:19:05Z</dcterms:modified>
</cp:coreProperties>
</file>