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605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605520"/>
                    </a:xfrm>
                    <a:prstGeom prst="rect">
                      <a:avLst/>
                    </a:prstGeom>
                    <a:noFill/>
                  </pic:spPr>
                </pic:pic>
              </a:graphicData>
            </a:graphic>
          </wp:anchor>
        </w:drawing>
      </w:r>
    </w:p>
    <w:p>
      <w:pPr>
        <w:spacing w:after="0" w:line="113" w:lineRule="exact"/>
        <w:rPr>
          <w:sz w:val="24"/>
          <w:szCs w:val="24"/>
          <w:color w:val="auto"/>
        </w:rPr>
      </w:pPr>
    </w:p>
    <w:p>
      <w:pPr>
        <w:sectPr>
          <w:pgSz w:w="11900" w:h="1684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Karkar Andrei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0000FF"/>
              </w:rPr>
              <w:t>07/18/2022</w:t>
            </w:r>
          </w:p>
        </w:tc>
        <w:tc>
          <w:tcPr>
            <w:tcW w:w="1680" w:type="dxa"/>
            <w:vAlign w:val="bottom"/>
          </w:tcPr>
          <w:p>
            <w:pPr>
              <w:spacing w:after="0"/>
              <w:rPr>
                <w:sz w:val="16"/>
                <w:szCs w:val="16"/>
                <w:color w:val="auto"/>
              </w:rPr>
            </w:pPr>
          </w:p>
        </w:tc>
        <w:tc>
          <w:tcPr>
            <w:tcW w:w="1700" w:type="dxa"/>
            <w:vAlign w:val="bottom"/>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2" w:lineRule="exact"/>
        <w:rPr>
          <w:sz w:val="24"/>
          <w:szCs w:val="24"/>
          <w:color w:val="auto"/>
        </w:rPr>
      </w:pPr>
    </w:p>
    <w:tbl>
      <w:tblPr>
        <w:tblLayout w:type="fixed"/>
        <w:tblInd w:w="41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4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280"/>
              <w:spacing w:after="0" w:line="213" w:lineRule="exact"/>
              <w:rPr>
                <w:sz w:val="20"/>
                <w:szCs w:val="20"/>
                <w:color w:val="auto"/>
              </w:rPr>
            </w:pPr>
            <w:r>
              <w:rPr>
                <w:rFonts w:ascii="Times New Roman" w:cs="Times New Roman" w:eastAsia="Times New Roman" w:hAnsi="Times New Roman"/>
                <w:sz w:val="17"/>
                <w:szCs w:val="17"/>
                <w:color w:val="0000FF"/>
              </w:rPr>
              <w:t>45,705,976</w:t>
            </w:r>
            <w:r>
              <w:rPr>
                <w:rFonts w:ascii="Times New Roman" w:cs="Times New Roman" w:eastAsia="Times New Roman" w:hAnsi="Times New Roman"/>
                <w:sz w:val="22"/>
                <w:szCs w:val="22"/>
                <w:color w:val="008000"/>
                <w:vertAlign w:val="superscript"/>
              </w:rPr>
              <w:t>(1)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520" w:type="dxa"/>
            <w:vAlign w:val="bottom"/>
            <w:gridSpan w:val="16"/>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2"/>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ERAS Capital LLC</w:t>
              </w:r>
            </w:hyperlink>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18, 2022, the Reporting Persons filed a Form 4 which inadvertently reported that ERAS Capital LLC ("ERAS") owned 89,786,952 common shares, whereas, ERAS actually owned 45,705,976 common shares as reported in this amendment.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sectPr>
          <w:pgSz w:w="11900" w:h="16845"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Cohan, Attorney-in- 08/16/2022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4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2022-08-16T19:43:46Z</dcterms:created>
  <dcterms:modified xsi:type="dcterms:W3CDTF">2022-08-16T19:43:46Z</dcterms:modified>
</cp:coreProperties>
</file>