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12,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7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585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spacing w:after="0" w:line="273" w:lineRule="exact"/>
        <w:rPr>
          <w:sz w:val="20"/>
          <w:szCs w:val="20"/>
          <w:color w:val="auto"/>
        </w:rPr>
      </w:pPr>
    </w:p>
    <w:p>
      <w:pPr>
        <w:ind w:left="720" w:right="7840" w:hanging="54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35" w:lineRule="exact"/>
        <w:rPr>
          <w:sz w:val="20"/>
          <w:szCs w:val="20"/>
          <w:color w:val="auto"/>
        </w:rPr>
      </w:pPr>
    </w:p>
    <w:p>
      <w:pPr>
        <w:ind w:left="720" w:hanging="547"/>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6" w:lineRule="exact"/>
        <w:rPr>
          <w:sz w:val="20"/>
          <w:szCs w:val="20"/>
          <w:color w:val="auto"/>
        </w:rPr>
      </w:pPr>
    </w:p>
    <w:p>
      <w:pPr>
        <w:ind w:left="720" w:hanging="54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0" w:lineRule="exact"/>
        <w:rPr>
          <w:sz w:val="20"/>
          <w:szCs w:val="20"/>
          <w:color w:val="auto"/>
        </w:rPr>
      </w:pPr>
    </w:p>
    <w:p>
      <w:pPr>
        <w:ind w:left="720" w:right="8900" w:hanging="547"/>
        <w:spacing w:after="0" w:line="252"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20" w:hanging="5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720" w:right="6860" w:hanging="547"/>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35"/>
        </w:trPr>
        <w:tc>
          <w:tcPr>
            <w:tcW w:w="28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3"/>
                <w:szCs w:val="23"/>
                <w:color w:val="auto"/>
              </w:rPr>
            </w:pPr>
          </w:p>
        </w:tc>
        <w:tc>
          <w:tcPr>
            <w:tcW w:w="7840" w:type="dxa"/>
            <w:vAlign w:val="bottom"/>
          </w:tcPr>
          <w:p>
            <w:pPr>
              <w:ind w:left="140"/>
              <w:spacing w:after="0" w:line="266" w:lineRule="exact"/>
              <w:rPr>
                <w:sz w:val="20"/>
                <w:szCs w:val="20"/>
                <w:color w:val="auto"/>
              </w:rPr>
            </w:pPr>
            <w:r>
              <w:rPr>
                <w:rFonts w:ascii="Arial" w:cs="Arial" w:eastAsia="Arial" w:hAnsi="Arial"/>
                <w:sz w:val="18"/>
                <w:szCs w:val="18"/>
                <w:color w:val="auto"/>
              </w:rPr>
              <w:t>18,806,677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8</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40"/>
              <w:spacing w:after="0" w:line="280" w:lineRule="exact"/>
              <w:rPr>
                <w:sz w:val="20"/>
                <w:szCs w:val="20"/>
                <w:color w:val="auto"/>
              </w:rPr>
            </w:pPr>
            <w:r>
              <w:rPr>
                <w:rFonts w:ascii="Arial" w:cs="Arial" w:eastAsia="Arial" w:hAnsi="Arial"/>
                <w:sz w:val="18"/>
                <w:szCs w:val="18"/>
                <w:color w:val="auto"/>
              </w:rPr>
              <w:t>18,806,677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4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8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7"/>
        </w:trPr>
        <w:tc>
          <w:tcPr>
            <w:tcW w:w="28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720" w:right="3980" w:hanging="547"/>
        <w:spacing w:after="0" w:line="27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18,806,677 shares of Common Shares</w:t>
      </w:r>
    </w:p>
    <w:p>
      <w:pPr>
        <w:spacing w:after="0" w:line="36" w:lineRule="exact"/>
        <w:rPr>
          <w:rFonts w:ascii="Arial" w:cs="Arial" w:eastAsia="Arial" w:hAnsi="Arial"/>
          <w:sz w:val="18"/>
          <w:szCs w:val="18"/>
          <w:color w:val="auto"/>
        </w:rPr>
      </w:pPr>
    </w:p>
    <w:p>
      <w:pPr>
        <w:ind w:left="720" w:hanging="54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7" w:lineRule="exact"/>
        <w:rPr>
          <w:rFonts w:ascii="Arial" w:cs="Arial" w:eastAsia="Arial" w:hAnsi="Arial"/>
          <w:sz w:val="18"/>
          <w:szCs w:val="18"/>
          <w:color w:val="auto"/>
        </w:rPr>
      </w:pPr>
    </w:p>
    <w:p>
      <w:pPr>
        <w:ind w:left="720" w:right="5380" w:hanging="547"/>
        <w:spacing w:after="0" w:line="25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7.1% of the Common Shares</w:t>
      </w:r>
      <w:r>
        <w:rPr>
          <w:rFonts w:ascii="Arial" w:cs="Arial" w:eastAsia="Arial" w:hAnsi="Arial"/>
          <w:sz w:val="29"/>
          <w:szCs w:val="29"/>
          <w:color w:val="auto"/>
          <w:vertAlign w:val="superscript"/>
        </w:rPr>
        <w:t>2</w:t>
      </w:r>
    </w:p>
    <w:p>
      <w:pPr>
        <w:spacing w:after="0" w:line="2" w:lineRule="exact"/>
        <w:rPr>
          <w:rFonts w:ascii="Arial" w:cs="Arial" w:eastAsia="Arial" w:hAnsi="Arial"/>
          <w:sz w:val="18"/>
          <w:szCs w:val="18"/>
          <w:color w:val="auto"/>
        </w:rPr>
      </w:pPr>
    </w:p>
    <w:p>
      <w:pPr>
        <w:ind w:left="720" w:right="8020" w:hanging="547"/>
        <w:spacing w:after="0" w:line="25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342" w:lineRule="exact"/>
        <w:rPr>
          <w:sz w:val="20"/>
          <w:szCs w:val="20"/>
          <w:color w:val="auto"/>
        </w:rPr>
      </w:pPr>
    </w:p>
    <w:p>
      <w:pPr>
        <w:ind w:right="60" w:firstLine="8"/>
        <w:spacing w:after="0" w:line="224" w:lineRule="auto"/>
        <w:tabs>
          <w:tab w:leader="none" w:pos="144" w:val="left"/>
        </w:tabs>
        <w:numPr>
          <w:ilvl w:val="0"/>
          <w:numId w:val="8"/>
        </w:numPr>
        <w:rPr>
          <w:rFonts w:ascii="Arial" w:cs="Arial" w:eastAsia="Arial" w:hAnsi="Arial"/>
          <w:sz w:val="35"/>
          <w:szCs w:val="35"/>
          <w:color w:val="auto"/>
          <w:vertAlign w:val="superscript"/>
        </w:rPr>
      </w:pPr>
      <w:r>
        <w:rPr>
          <w:rFonts w:ascii="Arial" w:cs="Arial" w:eastAsia="Arial" w:hAnsi="Arial"/>
          <w:sz w:val="21"/>
          <w:szCs w:val="21"/>
          <w:color w:val="auto"/>
        </w:rPr>
        <w:t>Consists of (i) 14,639,239 Common Shares, (ii) 4,078,044 Common Shares underlying options that are exercisable within 60 days of August 17,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43" w:lineRule="exact"/>
        <w:rPr>
          <w:sz w:val="20"/>
          <w:szCs w:val="20"/>
          <w:color w:val="auto"/>
        </w:rPr>
      </w:pPr>
    </w:p>
    <w:p>
      <w:pPr>
        <w:ind w:right="160" w:firstLine="8"/>
        <w:spacing w:after="0" w:line="205" w:lineRule="auto"/>
        <w:tabs>
          <w:tab w:leader="none" w:pos="144" w:val="left"/>
        </w:tabs>
        <w:numPr>
          <w:ilvl w:val="0"/>
          <w:numId w:val="9"/>
        </w:numPr>
        <w:rPr>
          <w:rFonts w:ascii="Arial" w:cs="Arial" w:eastAsia="Arial" w:hAnsi="Arial"/>
          <w:sz w:val="36"/>
          <w:szCs w:val="36"/>
          <w:color w:val="auto"/>
          <w:vertAlign w:val="superscript"/>
        </w:rPr>
      </w:pPr>
      <w:r>
        <w:rPr>
          <w:rFonts w:ascii="Arial" w:cs="Arial" w:eastAsia="Arial" w:hAnsi="Arial"/>
          <w:sz w:val="22"/>
          <w:szCs w:val="22"/>
          <w:color w:val="auto"/>
        </w:rPr>
        <w:t>Calculated based on 265,137,135 Common Shares issued and outstanding, consisting of the 227,158,455 Common Shares issued and outstanding as of August 12, 2022, as reported in the Issuer’s Quarterly Report on Form 10-Q filed on August 15, 2022, and the additional 37,978,680 Common Shares issuable by the Issuer in the private placement announced by the Issuer on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7 TO SCHEDULE 13D</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Amendment No. 7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on April 5, 2022 and on July 6, 2022 (the “Schedule 13D”), by Gerard Barron (the “Reporting Person”).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12, 2022, the Reporting Person acquired 103,680 Common Shares in a private placement from the Issuer at a purchase price of $0.9645 per share using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and 103,680 Common Shares beneficially owned by the Reporting Person were subsequently acquired by the Reporting Person on August 12, 2022.</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550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7 TO SCHEDULE 13D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Reporting Person holds (i) 14,639,239 Common Shares, including the 103,680 Common Shares purchased in a private placement from the Issuer pursuant to a securities purchase agreement, dated August 12, 2022, with the Issuer, a copy of which was filed as Exhibit 10.2 to the Issuer’s Current Report on Form 8-K, which is incorporated herein by reference, and (ii) 4,078,044 Common Shares underlying options that are exercisable within 60 days of August 17, 2022,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781,250 restricted stock units, each representing the right to receive one Common Share upon vesting, granted to the Reporting Person on November 22, 2021 under the Issuer's 2021 Equity Incentive Plan, which vest in three equal annual installments beginning on November 22, 2022 and ending on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Dated: August 17,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Gerard Barron</w:t>
            </w:r>
          </w:p>
        </w:tc>
      </w:tr>
      <w:tr>
        <w:trPr>
          <w:trHeight w:val="68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2022-08-18T05:16:55Z</dcterms:created>
  <dcterms:modified xsi:type="dcterms:W3CDTF">2022-08-18T05:16:55Z</dcterms:modified>
</cp:coreProperties>
</file>