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(Rule 13d-101)</w:t>
      </w:r>
    </w:p>
    <w:p>
      <w:pPr>
        <w:spacing w:after="0" w:line="20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INFORMATION TO BE INCLUDED IN STATEMENTS FILED PURSUANT</w:t>
      </w:r>
    </w:p>
    <w:p>
      <w:pPr>
        <w:spacing w:after="0" w:line="27"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TO § 240.13d-1(a) AND AMENDMENTS THERETO FILED PURSUANT TO</w:t>
      </w:r>
    </w:p>
    <w:p>
      <w:pPr>
        <w:spacing w:after="0" w:line="9" w:lineRule="exact"/>
        <w:rPr>
          <w:sz w:val="24"/>
          <w:szCs w:val="24"/>
          <w:color w:val="auto"/>
        </w:rPr>
      </w:pPr>
    </w:p>
    <w:p>
      <w:pPr>
        <w:ind w:left="4860" w:right="4780" w:firstLine="229"/>
        <w:spacing w:after="0" w:line="512" w:lineRule="auto"/>
        <w:tabs>
          <w:tab w:leader="none" w:pos="523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240.13d-2(a) (Amendment No. 2)*</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TMC Common Shares without par value</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87261Y 106</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Cornelis Kooger</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Route de Pra de Plan 18, Case Postale 411</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1618 Châtel-Saint-Denis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+41 21 948 3500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August 18, 2022</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ind w:right="700" w:firstLine="8"/>
        <w:spacing w:after="0" w:line="282" w:lineRule="auto"/>
        <w:tabs>
          <w:tab w:leader="none" w:pos="7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2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Allseas Group S.A.</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0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1580" w:type="dxa"/>
            <w:vAlign w:val="bottom"/>
            <w:tcBorders>
              <w:right w:val="single" w:sz="8" w:color="auto"/>
            </w:tcBorders>
          </w:tcPr>
          <w:p>
            <w:pPr>
              <w:jc w:val="right"/>
              <w:ind w:right="65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5" w:lineRule="exact"/>
              <w:rPr>
                <w:sz w:val="20"/>
                <w:szCs w:val="20"/>
                <w:color w:val="auto"/>
              </w:rPr>
            </w:pPr>
            <w:r>
              <w:rPr>
                <w:rFonts w:ascii="Times New Roman" w:cs="Times New Roman" w:eastAsia="Times New Roman" w:hAnsi="Times New Roman"/>
                <w:sz w:val="17"/>
                <w:szCs w:val="17"/>
                <w:b w:val="1"/>
                <w:bCs w:val="1"/>
                <w:color w:val="auto"/>
              </w:rPr>
              <w:t>22,701,648</w:t>
            </w:r>
            <w:r>
              <w:rPr>
                <w:rFonts w:ascii="Times New Roman" w:cs="Times New Roman" w:eastAsia="Times New Roman" w:hAnsi="Times New Roman"/>
                <w:sz w:val="27"/>
                <w:szCs w:val="27"/>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56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64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22,701,648</w:t>
            </w:r>
            <w:r>
              <w:rPr>
                <w:rFonts w:ascii="Times New Roman" w:cs="Times New Roman" w:eastAsia="Times New Roman" w:hAnsi="Times New Roman"/>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22,701,648</w:t>
            </w:r>
            <w:r>
              <w:rPr>
                <w:rFonts w:ascii="Times New Roman" w:cs="Times New Roman" w:eastAsia="Times New Roman" w:hAnsi="Times New Roman"/>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8.6</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Allseas Investments S.A.</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0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1580" w:type="dxa"/>
            <w:vAlign w:val="bottom"/>
            <w:tcBorders>
              <w:right w:val="single" w:sz="8" w:color="auto"/>
            </w:tcBorders>
          </w:tcPr>
          <w:p>
            <w:pPr>
              <w:jc w:val="right"/>
              <w:ind w:right="65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5" w:lineRule="exact"/>
              <w:rPr>
                <w:sz w:val="20"/>
                <w:szCs w:val="20"/>
                <w:color w:val="auto"/>
              </w:rPr>
            </w:pPr>
            <w:r>
              <w:rPr>
                <w:rFonts w:ascii="Times New Roman" w:cs="Times New Roman" w:eastAsia="Times New Roman" w:hAnsi="Times New Roman"/>
                <w:sz w:val="17"/>
                <w:szCs w:val="17"/>
                <w:b w:val="1"/>
                <w:bCs w:val="1"/>
                <w:color w:val="auto"/>
              </w:rPr>
              <w:t>22,701,648</w:t>
            </w:r>
            <w:r>
              <w:rPr>
                <w:rFonts w:ascii="Times New Roman" w:cs="Times New Roman" w:eastAsia="Times New Roman" w:hAnsi="Times New Roman"/>
                <w:sz w:val="27"/>
                <w:szCs w:val="27"/>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56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64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22,701,648</w:t>
            </w:r>
            <w:r>
              <w:rPr>
                <w:rFonts w:ascii="Times New Roman" w:cs="Times New Roman" w:eastAsia="Times New Roman" w:hAnsi="Times New Roman"/>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22,701,648</w:t>
            </w:r>
            <w:r>
              <w:rPr>
                <w:rFonts w:ascii="Times New Roman" w:cs="Times New Roman" w:eastAsia="Times New Roman" w:hAnsi="Times New Roman"/>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8.6</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Argentum Cedit Virtuti GCV</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0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Belgium</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1580" w:type="dxa"/>
            <w:vAlign w:val="bottom"/>
            <w:tcBorders>
              <w:right w:val="single" w:sz="8" w:color="auto"/>
            </w:tcBorders>
          </w:tcPr>
          <w:p>
            <w:pPr>
              <w:jc w:val="right"/>
              <w:ind w:right="65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5" w:lineRule="exact"/>
              <w:rPr>
                <w:sz w:val="20"/>
                <w:szCs w:val="20"/>
                <w:color w:val="auto"/>
              </w:rPr>
            </w:pPr>
            <w:r>
              <w:rPr>
                <w:rFonts w:ascii="Times New Roman" w:cs="Times New Roman" w:eastAsia="Times New Roman" w:hAnsi="Times New Roman"/>
                <w:sz w:val="17"/>
                <w:szCs w:val="17"/>
                <w:b w:val="1"/>
                <w:bCs w:val="1"/>
                <w:color w:val="auto"/>
              </w:rPr>
              <w:t>23,701,648</w:t>
            </w:r>
            <w:r>
              <w:rPr>
                <w:rFonts w:ascii="Times New Roman" w:cs="Times New Roman" w:eastAsia="Times New Roman" w:hAnsi="Times New Roman"/>
                <w:sz w:val="27"/>
                <w:szCs w:val="27"/>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56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64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23,701,648</w:t>
            </w:r>
            <w:r>
              <w:rPr>
                <w:rFonts w:ascii="Times New Roman" w:cs="Times New Roman" w:eastAsia="Times New Roman" w:hAnsi="Times New Roman"/>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23,701,648 </w:t>
            </w:r>
            <w:r>
              <w:rPr>
                <w:rFonts w:ascii="Times New Roman" w:cs="Times New Roman" w:eastAsia="Times New Roman" w:hAnsi="Times New Roman"/>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8.9</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6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Stichting Administratiekantoor Aequa Lance Foundation</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5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06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Pr>
          <w:p>
            <w:pPr>
              <w:ind w:left="180"/>
              <w:spacing w:after="0" w:line="163" w:lineRule="exact"/>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0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1580" w:type="dxa"/>
            <w:vAlign w:val="bottom"/>
            <w:tcBorders>
              <w:right w:val="single" w:sz="8" w:color="auto"/>
            </w:tcBorders>
          </w:tcPr>
          <w:p>
            <w:pPr>
              <w:jc w:val="right"/>
              <w:ind w:right="65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5" w:lineRule="exact"/>
              <w:rPr>
                <w:sz w:val="20"/>
                <w:szCs w:val="20"/>
                <w:color w:val="auto"/>
              </w:rPr>
            </w:pPr>
            <w:r>
              <w:rPr>
                <w:rFonts w:ascii="Times New Roman" w:cs="Times New Roman" w:eastAsia="Times New Roman" w:hAnsi="Times New Roman"/>
                <w:sz w:val="17"/>
                <w:szCs w:val="17"/>
                <w:b w:val="1"/>
                <w:bCs w:val="1"/>
                <w:color w:val="auto"/>
              </w:rPr>
              <w:t>23,701,648</w:t>
            </w:r>
            <w:r>
              <w:rPr>
                <w:rFonts w:ascii="Times New Roman" w:cs="Times New Roman" w:eastAsia="Times New Roman" w:hAnsi="Times New Roman"/>
                <w:sz w:val="27"/>
                <w:szCs w:val="27"/>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56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64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23,701,648</w:t>
            </w:r>
            <w:r>
              <w:rPr>
                <w:rFonts w:ascii="Times New Roman" w:cs="Times New Roman" w:eastAsia="Times New Roman" w:hAnsi="Times New Roman"/>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23,701,648</w:t>
            </w:r>
            <w:r>
              <w:rPr>
                <w:rFonts w:ascii="Times New Roman" w:cs="Times New Roman" w:eastAsia="Times New Roman" w:hAnsi="Times New Roman"/>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8.9</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Heerema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060" w:type="dxa"/>
            <w:vAlign w:val="bottom"/>
            <w:tcBorders>
              <w:top w:val="single" w:sz="8" w:color="auto"/>
            </w:tcBorders>
            <w:gridSpan w:val="2"/>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60" w:type="dxa"/>
            <w:vAlign w:val="bottom"/>
            <w:tcBorders>
              <w:top w:val="single" w:sz="8" w:color="auto"/>
            </w:tcBorders>
          </w:tcPr>
          <w:p>
            <w:pPr>
              <w:ind w:left="1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0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1580" w:type="dxa"/>
            <w:vAlign w:val="bottom"/>
            <w:tcBorders>
              <w:right w:val="single" w:sz="8" w:color="auto"/>
            </w:tcBorders>
          </w:tcPr>
          <w:p>
            <w:pPr>
              <w:jc w:val="right"/>
              <w:ind w:right="65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5" w:lineRule="exact"/>
              <w:rPr>
                <w:sz w:val="20"/>
                <w:szCs w:val="20"/>
                <w:color w:val="auto"/>
              </w:rPr>
            </w:pPr>
            <w:r>
              <w:rPr>
                <w:rFonts w:ascii="Times New Roman" w:cs="Times New Roman" w:eastAsia="Times New Roman" w:hAnsi="Times New Roman"/>
                <w:sz w:val="17"/>
                <w:szCs w:val="17"/>
                <w:b w:val="1"/>
                <w:bCs w:val="1"/>
                <w:color w:val="auto"/>
              </w:rPr>
              <w:t>23,701,648</w:t>
            </w:r>
            <w:r>
              <w:rPr>
                <w:rFonts w:ascii="Times New Roman" w:cs="Times New Roman" w:eastAsia="Times New Roman" w:hAnsi="Times New Roman"/>
                <w:sz w:val="27"/>
                <w:szCs w:val="27"/>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56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64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23,701,648</w:t>
            </w:r>
            <w:r>
              <w:rPr>
                <w:rFonts w:ascii="Times New Roman" w:cs="Times New Roman" w:eastAsia="Times New Roman" w:hAnsi="Times New Roman"/>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23,701,648</w:t>
            </w:r>
            <w:r>
              <w:rPr>
                <w:rFonts w:ascii="Times New Roman" w:cs="Times New Roman" w:eastAsia="Times New Roman" w:hAnsi="Times New Roman"/>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8.9</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right="100" w:firstLine="8"/>
        <w:spacing w:after="0" w:line="266" w:lineRule="auto"/>
        <w:tabs>
          <w:tab w:leader="none" w:pos="5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22,701,648 common shares ("TMC Common Shares") of TMC the metals company Inc. (the “Issuer”) held by Allseas Group S.A. Excludes shares of TMC Common Shares issuable upon the exercise of 11,578,620 warrants of the Issuer, contingent upon successful completion the pilot mining test system.</w:t>
      </w:r>
    </w:p>
    <w:p>
      <w:pPr>
        <w:spacing w:after="0" w:line="175" w:lineRule="exact"/>
        <w:rPr>
          <w:rFonts w:ascii="Times New Roman" w:cs="Times New Roman" w:eastAsia="Times New Roman" w:hAnsi="Times New Roman"/>
          <w:sz w:val="18"/>
          <w:szCs w:val="18"/>
          <w:color w:val="auto"/>
        </w:rPr>
      </w:pPr>
    </w:p>
    <w:p>
      <w:pPr>
        <w:ind w:right="400" w:firstLine="8"/>
        <w:spacing w:after="0" w:line="266" w:lineRule="auto"/>
        <w:tabs>
          <w:tab w:leader="none" w:pos="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based upon 265,137,135 shares of TMC Common Shares issued and outstanding as of August 16, 2022 (227,158,455 shares outstanding as disclosed in the Issur's Quarterly Report on Form 10-Q filed with the Securities and Exchange Commission on August 15, 2022 plus 37,978,680 shares issued in a private placement on August 18, 2022).</w:t>
      </w:r>
    </w:p>
    <w:p>
      <w:pPr>
        <w:spacing w:after="0" w:line="175" w:lineRule="exact"/>
        <w:rPr>
          <w:rFonts w:ascii="Times New Roman" w:cs="Times New Roman" w:eastAsia="Times New Roman" w:hAnsi="Times New Roman"/>
          <w:sz w:val="18"/>
          <w:szCs w:val="18"/>
          <w:color w:val="auto"/>
        </w:rPr>
      </w:pPr>
    </w:p>
    <w:p>
      <w:pPr>
        <w:ind w:right="200" w:firstLine="8"/>
        <w:spacing w:after="0" w:line="266" w:lineRule="auto"/>
        <w:tabs>
          <w:tab w:leader="none" w:pos="5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22,701,648 shares of TMC Common Shares held by Allseas Group S.A. and (ii) 1,000,000 shares of TMC Common Shares held by Argentum Cedit Virtuti GCV. Excludes shares of TMC Common Shares issuable upon the exercise of 11,578,620 warrants of the Issuer, contingent upon successful completion the pilot mining test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-1573530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Amendment No. 2 to Schedule 13D (this "Amendment No. 2") is being filed jointly by (i) Allseas Group S.A. ("AGSA"), by virtue of its director ownership of 22,701,648 shares of TMC Common Shares, (ii) Allseas Investments S.A. ("AISA"), by virtue of its ownership of AGSA, (iii) Argentum Cedit Virtuti GCV ("ACV"), by virtue of its direct ownership of 1,000,000 shares of TMC Common Shares and its ownership of AGSA and AISA, (iv) Stichting Administratiekantoor Aequa Lance Foundation ("Aequa Lance Foundation"), by virtue of its ownership of AGC, and (v) Edward Heerema, by virtue of his ownership of Aequa Lance Foundation (the foregoing collectively, the “Reporting Persons”), and amends and supplements the statement on Schedule 13D filed with the Securities and Exchange Commission on September 21, 2021 (the "Original Filing"), as amended by Amendment No. 1 filed on December 2, 2021 (as amended, the "Schedule 13D"). Information reported in the Schedule 13D remains in effect except to the extent that it is amended, restated or superseded by information contained in this Amendment No. 2. Capitalized terms used herein and not otherwise defined in this Amendment No. 2 have the meanings set forth in the Original Filing.</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auto"/>
        </w:rPr>
        <w:t>Source and Amount of Funds or Other Considerations.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of the Schedule 13D is hereby supplemented by adding the following additional information:</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On December 24, 2021, AGSA acquired 300,000 shares of TMC Common Shares at a price of $2.00 per share in a privately negotiated transaction. On August 18, 2022, AGSA acquired 6,250,000 shares of TMC Common Shares at a price of $0.80 per share in a privately negotiated transaction.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ind w:left="1580" w:hanging="789"/>
        <w:spacing w:after="0" w:line="282" w:lineRule="auto"/>
        <w:tabs>
          <w:tab w:leader="none" w:pos="1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to Item 2 of the Schedule 13D are incorporated by reference herein. The following information is as of the date hereof and assumes there are 265,137,135 shares of TMC Common Shares outstanding, based on the information furnished by the Issuer.</w:t>
      </w:r>
    </w:p>
    <w:p>
      <w:pPr>
        <w:spacing w:after="0" w:line="161" w:lineRule="exact"/>
        <w:rPr>
          <w:rFonts w:ascii="Times New Roman" w:cs="Times New Roman" w:eastAsia="Times New Roman" w:hAnsi="Times New Roman"/>
          <w:sz w:val="18"/>
          <w:szCs w:val="18"/>
          <w:color w:val="auto"/>
        </w:rPr>
      </w:pPr>
    </w:p>
    <w:p>
      <w:pPr>
        <w:ind w:left="15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AGSA and AISA may be deemed to beneficially own 22,701,648 shares of TMC Common Shares, or approximately 8.6% of the outstanding TMC Common Share. ACV, Aequa Lance Foundation and Mr. Heerema may be deemed to beneficially own 23,701,648 shares of TMC Common Shares, or approximately 8.9% of the outstanding TMC Common Share outstanding.</w:t>
      </w:r>
    </w:p>
    <w:p>
      <w:pPr>
        <w:spacing w:after="0" w:line="175" w:lineRule="exact"/>
        <w:rPr>
          <w:rFonts w:ascii="Times New Roman" w:cs="Times New Roman" w:eastAsia="Times New Roman" w:hAnsi="Times New Roman"/>
          <w:sz w:val="18"/>
          <w:szCs w:val="18"/>
          <w:color w:val="auto"/>
        </w:rPr>
      </w:pPr>
    </w:p>
    <w:p>
      <w:pPr>
        <w:ind w:left="158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75" w:lineRule="exact"/>
        <w:rPr>
          <w:rFonts w:ascii="Times New Roman" w:cs="Times New Roman" w:eastAsia="Times New Roman" w:hAnsi="Times New Roman"/>
          <w:sz w:val="18"/>
          <w:szCs w:val="18"/>
          <w:color w:val="auto"/>
        </w:rPr>
      </w:pPr>
    </w:p>
    <w:p>
      <w:pPr>
        <w:ind w:left="1580" w:right="160" w:hanging="789"/>
        <w:spacing w:after="0" w:line="266" w:lineRule="auto"/>
        <w:tabs>
          <w:tab w:leader="none" w:pos="1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p>
      <w:pPr>
        <w:spacing w:after="0" w:line="175" w:lineRule="exact"/>
        <w:rPr>
          <w:rFonts w:ascii="Times New Roman" w:cs="Times New Roman" w:eastAsia="Times New Roman" w:hAnsi="Times New Roman"/>
          <w:sz w:val="18"/>
          <w:szCs w:val="18"/>
          <w:color w:val="auto"/>
        </w:rPr>
      </w:pPr>
    </w:p>
    <w:p>
      <w:pPr>
        <w:ind w:left="1580" w:right="80" w:hanging="789"/>
        <w:spacing w:after="0" w:line="261" w:lineRule="auto"/>
        <w:tabs>
          <w:tab w:leader="none" w:pos="1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AGSA received 14,151,648 shares of TMC Common Shares. In connection with the PIPE Financing, AGSA received 2,000,000 shares of TMC Common Shares and ACV received 1,000,000 shares of TMC Common Shares. On December 24, 2021, AGSA acquired 300,000 shares of TMC Common Shares in a privately negotiated transaction. On August 18, 2022, AGSA acquired 6,250,000 shares of TMC Common Shares in a privately negotiated transaction.</w:t>
      </w:r>
    </w:p>
    <w:p>
      <w:pPr>
        <w:spacing w:after="0" w:line="179" w:lineRule="exact"/>
        <w:rPr>
          <w:rFonts w:ascii="Times New Roman" w:cs="Times New Roman" w:eastAsia="Times New Roman" w:hAnsi="Times New Roman"/>
          <w:sz w:val="18"/>
          <w:szCs w:val="18"/>
          <w:color w:val="auto"/>
        </w:rPr>
      </w:pPr>
    </w:p>
    <w:p>
      <w:pPr>
        <w:ind w:left="1580" w:right="300" w:hanging="789"/>
        <w:spacing w:after="0" w:line="266" w:lineRule="auto"/>
        <w:tabs>
          <w:tab w:leader="none" w:pos="1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p>
      <w:pPr>
        <w:spacing w:after="0" w:line="175" w:lineRule="exact"/>
        <w:rPr>
          <w:rFonts w:ascii="Times New Roman" w:cs="Times New Roman" w:eastAsia="Times New Roman" w:hAnsi="Times New Roman"/>
          <w:sz w:val="18"/>
          <w:szCs w:val="18"/>
          <w:color w:val="auto"/>
        </w:rPr>
      </w:pPr>
    </w:p>
    <w:p>
      <w:pPr>
        <w:ind w:left="1580" w:hanging="789"/>
        <w:spacing w:after="0"/>
        <w:tabs>
          <w:tab w:leader="none" w:pos="1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25,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Allseas Group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Allseas Investments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Argentum Cedit Virtuti GCV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Zaakvoerder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Stichting Administratiekantoor Aequa Lance Foundation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decimal"/>
      <w:start w:val="14"/>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1"/>
      <w:numFmt w:val="decimal"/>
      <w:start w:val="14"/>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decimal"/>
      <w:start w:val="14"/>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decimal"/>
      <w:start w:val="14"/>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1"/>
      <w:numFmt w:val="decimal"/>
      <w:start w:val="1"/>
    </w:lvl>
    <w:lvl w:ilvl="1">
      <w:lvlJc w:val="left"/>
      <w:lvlText w:val="%2"/>
      <w:numFmt w:val="decimal"/>
      <w:start w:val="14"/>
    </w:lvl>
  </w:abstractNum>
  <w:abstractNum w:abstractNumId="12">
    <w:nsid w:val="109CF92E"/>
    <w:multiLevelType w:val="hybridMultilevel"/>
    <w:lvl w:ilvl="0">
      <w:lvlJc w:val="left"/>
      <w:lvlText w:val="(%1)"/>
      <w:numFmt w:val="decimal"/>
      <w:start w:val="1"/>
    </w:lvl>
    <w:lvl w:ilvl="1">
      <w:lvlJc w:val="left"/>
      <w:lvlText w:val="%2"/>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2022-08-25T15:36:11Z</dcterms:created>
  <dcterms:modified xsi:type="dcterms:W3CDTF">2022-08-25T15:36:11Z</dcterms:modified>
</cp:coreProperties>
</file>