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16, 2022</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TMC the metals company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British Columbia, Canada</w:t>
            </w: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1000</w:t>
            </w:r>
          </w:p>
        </w:tc>
        <w:tc>
          <w:tcPr>
            <w:tcW w:w="12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88"/>
        </w:trPr>
        <w:tc>
          <w:tcPr>
            <w:tcW w:w="38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(Primary Standard Industrial</w:t>
            </w:r>
          </w:p>
        </w:tc>
        <w:tc>
          <w:tcPr>
            <w:tcW w:w="1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V6C 2T5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(574) 252-9333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221-0102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L. Fantozzi, Esq.</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T. Kajunski,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Mintz, Levin, Cohn, Ferris,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Glovsky and Popeo, P.C.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(617) 542-6000</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From time to time after the effective date of this registration statement.</w:t>
      </w:r>
    </w:p>
    <w:p>
      <w:pPr>
        <w:spacing w:after="0" w:line="1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280" w:type="dxa"/>
        <w:tblCellMar>
          <w:top w:w="0" w:type="dxa"/>
          <w:left w:w="0" w:type="dxa"/>
          <w:bottom w:w="0" w:type="dxa"/>
          <w:right w:w="0" w:type="dxa"/>
        </w:tblCellMar>
      </w:tblPr>
      <w:tr>
        <w:trPr>
          <w:trHeight w:val="21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2"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437" w:right="339" w:bottom="0" w:gutter="0" w:footer="0" w:header="0"/>
        </w:sectPr>
      </w:pPr>
    </w:p>
    <w:bookmarkStart w:id="1" w:name="page2"/>
    <w:bookmarkEnd w:id="1"/>
    <w:p>
      <w:pPr>
        <w:jc w:val="both"/>
        <w:spacing w:after="0" w:line="23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283845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588645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registration statement contains a base prospectus which covers both (a) the offering, issuance and sale by us of up to a maximum aggregate offering price of $100,000,000 of our common shares, preferred shares, debt securities, warrants and/or units from time to time in one or more offerings, and (b) the offering and sale by the selling shareholders of up to a maximum of 38,266,180 common shares, without par value, of TMC the metals company Inc.</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by us pursuant to the base prospectus will be specified in a prospectus supplement to the base prospectus,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spacing w:after="0" w:line="278"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Neither we nor the selling shareholders may sell these securities until the registration statement filed with the Securities and Exchange Commission becomes effective. This preliminary prospectus is not an offer to sell these securities and it is not soliciting an offer to buy these securities in any state or other jurisdiction where the offer or sale is not permitted.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SEPTEMBER 16,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153670</wp:posOffset>
            </wp:positionV>
            <wp:extent cx="1889125" cy="635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9125" cy="63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MILLION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38,266,180 COMMON SHARES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SELLING SHAREHOLDERS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$100 million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the selling shareholders identified in this prospectus may from time to time sell up to 38,266,180 of our common shares, without par value, or the Common Shares. We will not receive any proceeds from the sale, if any, of Common Shares by the selling shareholders. Unless otherwise set forth in a prospectus supplement, if required, the selling shareholders will pay any underwriting discounts and commissions and transfer taxes incurred by the selling shareholders in disposing of the Common Shares.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“TMC”. On September 15, 2022, the last reported sale price of our Common Shares was $1.04 per share. We also have warrants to purchase Common Shares listed on the Nasdaq Global Select Market under the symbol “TMCWW”. On September 15, 2022, the last reported sale price of these public warrants to purchase Common Shares was $0.14.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6"/>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3"/>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222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7400" w:type="dxa"/>
            <w:vAlign w:val="bottom"/>
            <w:gridSpan w:val="12"/>
            <w:shd w:val="clear" w:color="auto" w:fill="CCEEFF"/>
          </w:tcPr>
          <w:p>
            <w:pPr>
              <w:spacing w:after="0"/>
              <w:rPr>
                <w:sz w:val="15"/>
                <w:szCs w:val="15"/>
                <w:color w:val="auto"/>
              </w:rPr>
            </w:pPr>
          </w:p>
        </w:tc>
        <w:tc>
          <w:tcPr>
            <w:tcW w:w="1600" w:type="dxa"/>
            <w:vAlign w:val="bottom"/>
            <w:gridSpan w:val="4"/>
            <w:shd w:val="clear" w:color="auto" w:fill="CCEEFF"/>
          </w:tcPr>
          <w:p>
            <w:pPr>
              <w:jc w:val="center"/>
              <w:ind w:left="1351"/>
              <w:spacing w:after="0" w:line="174"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shd w:val="clear" w:color="auto" w:fill="CCEEFF"/>
          </w:tcPr>
          <w:p>
            <w:pPr>
              <w:spacing w:after="0"/>
              <w:rPr>
                <w:sz w:val="15"/>
                <w:szCs w:val="15"/>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2220" w:type="dxa"/>
            <w:vAlign w:val="bottom"/>
            <w:gridSpan w:val="9"/>
          </w:tcPr>
          <w:p>
            <w:pPr>
              <w:spacing w:after="0" w:line="174" w:lineRule="exact"/>
              <w:rPr>
                <w:sz w:val="20"/>
                <w:szCs w:val="20"/>
                <w:color w:val="auto"/>
              </w:rPr>
            </w:pPr>
            <w:r>
              <w:rPr>
                <w:rFonts w:ascii="Times New Roman" w:cs="Times New Roman" w:eastAsia="Times New Roman" w:hAnsi="Times New Roman"/>
                <w:sz w:val="18"/>
                <w:szCs w:val="18"/>
                <w:color w:val="0000EE"/>
              </w:rPr>
              <w:t>PROSPECTUS SUMMARY</w:t>
            </w:r>
          </w:p>
        </w:tc>
        <w:tc>
          <w:tcPr>
            <w:tcW w:w="7400" w:type="dxa"/>
            <w:vAlign w:val="bottom"/>
            <w:gridSpan w:val="12"/>
          </w:tcPr>
          <w:p>
            <w:pPr>
              <w:spacing w:after="0"/>
              <w:rPr>
                <w:sz w:val="15"/>
                <w:szCs w:val="15"/>
                <w:color w:val="auto"/>
              </w:rPr>
            </w:pPr>
          </w:p>
        </w:tc>
        <w:tc>
          <w:tcPr>
            <w:tcW w:w="1600" w:type="dxa"/>
            <w:vAlign w:val="bottom"/>
            <w:gridSpan w:val="4"/>
          </w:tcPr>
          <w:p>
            <w:pPr>
              <w:jc w:val="center"/>
              <w:ind w:left="1351"/>
              <w:spacing w:after="0" w:line="174" w:lineRule="exact"/>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15"/>
                <w:szCs w:val="15"/>
                <w:color w:val="auto"/>
              </w:rPr>
            </w:pP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9620" w:type="dxa"/>
            <w:vAlign w:val="bottom"/>
            <w:gridSpan w:val="2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RISK FACTORS</w:t>
            </w:r>
          </w:p>
        </w:tc>
        <w:tc>
          <w:tcPr>
            <w:tcW w:w="1600" w:type="dxa"/>
            <w:vAlign w:val="bottom"/>
            <w:gridSpan w:val="4"/>
            <w:shd w:val="clear" w:color="auto" w:fill="CCEEFF"/>
          </w:tcPr>
          <w:p>
            <w:pPr>
              <w:jc w:val="center"/>
              <w:ind w:left="1351"/>
              <w:spacing w:after="0" w:line="174"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shd w:val="clear" w:color="auto" w:fill="CCEEFF"/>
          </w:tcPr>
          <w:p>
            <w:pPr>
              <w:spacing w:after="0"/>
              <w:rPr>
                <w:sz w:val="15"/>
                <w:szCs w:val="15"/>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9620" w:type="dxa"/>
            <w:vAlign w:val="bottom"/>
            <w:gridSpan w:val="21"/>
          </w:tcPr>
          <w:p>
            <w:pPr>
              <w:spacing w:after="0" w:line="174"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600" w:type="dxa"/>
            <w:vAlign w:val="bottom"/>
            <w:gridSpan w:val="4"/>
          </w:tcPr>
          <w:p>
            <w:pPr>
              <w:jc w:val="center"/>
              <w:ind w:left="1351"/>
              <w:spacing w:after="0" w:line="174" w:lineRule="exact"/>
              <w:rPr>
                <w:sz w:val="20"/>
                <w:szCs w:val="20"/>
                <w:color w:val="auto"/>
              </w:rPr>
            </w:pPr>
            <w:r>
              <w:rPr>
                <w:rFonts w:ascii="Times New Roman" w:cs="Times New Roman" w:eastAsia="Times New Roman" w:hAnsi="Times New Roman"/>
                <w:sz w:val="18"/>
                <w:szCs w:val="18"/>
                <w:color w:val="0000EE"/>
                <w:w w:val="88"/>
              </w:rPr>
              <w:t>6</w:t>
            </w:r>
          </w:p>
        </w:tc>
        <w:tc>
          <w:tcPr>
            <w:tcW w:w="20" w:type="dxa"/>
            <w:vAlign w:val="bottom"/>
          </w:tcPr>
          <w:p>
            <w:pPr>
              <w:spacing w:after="0"/>
              <w:rPr>
                <w:sz w:val="15"/>
                <w:szCs w:val="15"/>
                <w:color w:val="auto"/>
              </w:rPr>
            </w:pP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9620" w:type="dxa"/>
            <w:vAlign w:val="bottom"/>
            <w:gridSpan w:val="2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4"/>
            <w:shd w:val="clear" w:color="auto" w:fill="CCEEFF"/>
          </w:tcPr>
          <w:p>
            <w:pPr>
              <w:jc w:val="center"/>
              <w:ind w:left="1351"/>
              <w:spacing w:after="0" w:line="174"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shd w:val="clear" w:color="auto" w:fill="CCEEFF"/>
          </w:tcPr>
          <w:p>
            <w:pPr>
              <w:spacing w:after="0"/>
              <w:rPr>
                <w:sz w:val="15"/>
                <w:szCs w:val="15"/>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9620" w:type="dxa"/>
            <w:vAlign w:val="bottom"/>
            <w:gridSpan w:val="21"/>
          </w:tcPr>
          <w:p>
            <w:pPr>
              <w:spacing w:after="0" w:line="174" w:lineRule="exact"/>
              <w:rPr>
                <w:sz w:val="20"/>
                <w:szCs w:val="20"/>
                <w:color w:val="auto"/>
              </w:rPr>
            </w:pPr>
            <w:r>
              <w:rPr>
                <w:rFonts w:ascii="Times New Roman" w:cs="Times New Roman" w:eastAsia="Times New Roman" w:hAnsi="Times New Roman"/>
                <w:sz w:val="18"/>
                <w:szCs w:val="18"/>
                <w:color w:val="0000EE"/>
              </w:rPr>
              <w:t>SELLING SHAREHOLDERS</w:t>
            </w:r>
          </w:p>
        </w:tc>
        <w:tc>
          <w:tcPr>
            <w:tcW w:w="1600" w:type="dxa"/>
            <w:vAlign w:val="bottom"/>
            <w:gridSpan w:val="4"/>
          </w:tcPr>
          <w:p>
            <w:pPr>
              <w:jc w:val="center"/>
              <w:ind w:left="1351"/>
              <w:spacing w:after="0" w:line="174"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Pr>
          <w:p>
            <w:pPr>
              <w:spacing w:after="0"/>
              <w:rPr>
                <w:sz w:val="15"/>
                <w:szCs w:val="15"/>
                <w:color w:val="auto"/>
              </w:rPr>
            </w:pP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4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PLAN OF DISTRIBUTION</w:t>
            </w:r>
          </w:p>
        </w:tc>
        <w:tc>
          <w:tcPr>
            <w:tcW w:w="7580" w:type="dxa"/>
            <w:vAlign w:val="bottom"/>
            <w:gridSpan w:val="15"/>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12</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9620" w:type="dxa"/>
            <w:vAlign w:val="bottom"/>
            <w:gridSpan w:val="21"/>
          </w:tcPr>
          <w:p>
            <w:pPr>
              <w:spacing w:after="0" w:line="174"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620" w:type="dxa"/>
            <w:vAlign w:val="bottom"/>
            <w:gridSpan w:val="5"/>
          </w:tcPr>
          <w:p>
            <w:pPr>
              <w:jc w:val="center"/>
              <w:ind w:left="1311"/>
              <w:spacing w:after="0" w:line="174" w:lineRule="exact"/>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322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DESCRIPTION OF PREFERRED SHARES</w:t>
            </w:r>
          </w:p>
        </w:tc>
        <w:tc>
          <w:tcPr>
            <w:tcW w:w="6400" w:type="dxa"/>
            <w:vAlign w:val="bottom"/>
            <w:gridSpan w:val="9"/>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19</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22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400" w:type="dxa"/>
            <w:vAlign w:val="bottom"/>
            <w:gridSpan w:val="9"/>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gridSpan w:val="4"/>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20</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460" w:type="dxa"/>
            <w:vAlign w:val="bottom"/>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7160" w:type="dxa"/>
            <w:vAlign w:val="bottom"/>
            <w:gridSpan w:val="11"/>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2460" w:type="dxa"/>
            <w:vAlign w:val="bottom"/>
            <w:gridSpan w:val="10"/>
          </w:tcPr>
          <w:p>
            <w:pPr>
              <w:spacing w:after="0" w:line="174" w:lineRule="exact"/>
              <w:rPr>
                <w:sz w:val="20"/>
                <w:szCs w:val="20"/>
                <w:color w:val="auto"/>
              </w:rPr>
            </w:pPr>
            <w:r>
              <w:rPr>
                <w:rFonts w:ascii="Times New Roman" w:cs="Times New Roman" w:eastAsia="Times New Roman" w:hAnsi="Times New Roman"/>
                <w:sz w:val="18"/>
                <w:szCs w:val="18"/>
                <w:color w:val="0000EE"/>
              </w:rPr>
              <w:t>DESCRIPTION OF UNITS</w:t>
            </w:r>
          </w:p>
        </w:tc>
        <w:tc>
          <w:tcPr>
            <w:tcW w:w="7160" w:type="dxa"/>
            <w:vAlign w:val="bottom"/>
            <w:gridSpan w:val="11"/>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gridSpan w:val="4"/>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31</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820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CERTAIN IMPORTANT PROVISIONS OF THE NOTICE OF ARTICLES AND ARTICLES AND THE BCBCA</w:t>
            </w:r>
          </w:p>
        </w:tc>
        <w:tc>
          <w:tcPr>
            <w:tcW w:w="1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32</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200" w:type="dxa"/>
            <w:vAlign w:val="bottom"/>
            <w:gridSpan w:val="20"/>
          </w:tcPr>
          <w:p>
            <w:pPr>
              <w:spacing w:after="0" w:line="174"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gridSpan w:val="4"/>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35</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4820" w:type="dxa"/>
            <w:vAlign w:val="bottom"/>
            <w:gridSpan w:val="1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MATERIAL U.S. FEDERAL INCOME TAX CONSIDERATIONS</w:t>
            </w:r>
          </w:p>
        </w:tc>
        <w:tc>
          <w:tcPr>
            <w:tcW w:w="4800" w:type="dxa"/>
            <w:vAlign w:val="bottom"/>
            <w:gridSpan w:val="5"/>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37</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9620" w:type="dxa"/>
            <w:vAlign w:val="bottom"/>
            <w:gridSpan w:val="21"/>
          </w:tcPr>
          <w:p>
            <w:pPr>
              <w:spacing w:after="0" w:line="174" w:lineRule="exact"/>
              <w:rPr>
                <w:sz w:val="20"/>
                <w:szCs w:val="20"/>
                <w:color w:val="auto"/>
              </w:rPr>
            </w:pPr>
            <w:r>
              <w:rPr>
                <w:rFonts w:ascii="Times New Roman" w:cs="Times New Roman" w:eastAsia="Times New Roman" w:hAnsi="Times New Roman"/>
                <w:sz w:val="18"/>
                <w:szCs w:val="18"/>
                <w:color w:val="0000EE"/>
              </w:rPr>
              <w:t>MATERIAL CANADIAN FEDERAL INCOME TAX CONSIDERATIONS</w:t>
            </w:r>
          </w:p>
        </w:tc>
        <w:tc>
          <w:tcPr>
            <w:tcW w:w="1620" w:type="dxa"/>
            <w:vAlign w:val="bottom"/>
            <w:gridSpan w:val="5"/>
          </w:tcPr>
          <w:p>
            <w:pPr>
              <w:jc w:val="center"/>
              <w:ind w:left="1311"/>
              <w:spacing w:after="0" w:line="174" w:lineRule="exact"/>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9620" w:type="dxa"/>
            <w:vAlign w:val="bottom"/>
            <w:gridSpan w:val="2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LEGAL MATTERS</w:t>
            </w:r>
          </w:p>
        </w:tc>
        <w:tc>
          <w:tcPr>
            <w:tcW w:w="1620" w:type="dxa"/>
            <w:vAlign w:val="bottom"/>
            <w:gridSpan w:val="5"/>
            <w:shd w:val="clear" w:color="auto" w:fill="CCEEFF"/>
          </w:tcPr>
          <w:p>
            <w:pPr>
              <w:jc w:val="center"/>
              <w:ind w:left="1311"/>
              <w:spacing w:after="0" w:line="174" w:lineRule="exact"/>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44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color w:val="0000EE"/>
              </w:rPr>
              <w:t>EXPERTS</w:t>
            </w:r>
          </w:p>
        </w:tc>
        <w:tc>
          <w:tcPr>
            <w:tcW w:w="8180" w:type="dxa"/>
            <w:vAlign w:val="bottom"/>
            <w:gridSpan w:val="18"/>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gridSpan w:val="4"/>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3780" w:type="dxa"/>
            <w:vAlign w:val="bottom"/>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5840" w:type="dxa"/>
            <w:vAlign w:val="bottom"/>
            <w:gridSpan w:val="7"/>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center"/>
              <w:ind w:right="20"/>
              <w:spacing w:after="0" w:line="174" w:lineRule="exact"/>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9620" w:type="dxa"/>
            <w:vAlign w:val="bottom"/>
            <w:gridSpan w:val="21"/>
          </w:tcPr>
          <w:p>
            <w:pPr>
              <w:spacing w:after="0" w:line="174"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620" w:type="dxa"/>
            <w:vAlign w:val="bottom"/>
            <w:gridSpan w:val="5"/>
          </w:tcPr>
          <w:p>
            <w:pPr>
              <w:jc w:val="center"/>
              <w:ind w:left="1311"/>
              <w:spacing w:after="0" w:line="174" w:lineRule="exact"/>
              <w:rPr>
                <w:sz w:val="20"/>
                <w:szCs w:val="20"/>
                <w:color w:val="auto"/>
              </w:rPr>
            </w:pPr>
            <w:r>
              <w:rPr>
                <w:rFonts w:ascii="Times New Roman" w:cs="Times New Roman" w:eastAsia="Times New Roman" w:hAnsi="Times New Roman"/>
                <w:sz w:val="18"/>
                <w:szCs w:val="18"/>
                <w:color w:val="0000EE"/>
                <w:w w:val="99"/>
              </w:rPr>
              <w:t>46</w:t>
            </w:r>
          </w:p>
        </w:tc>
      </w:tr>
      <w:tr>
        <w:trPr>
          <w:trHeight w:val="687"/>
        </w:trPr>
        <w:tc>
          <w:tcPr>
            <w:tcW w:w="7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Information about the selling shareholders may change over time. When the selling shareholders sell our Common Shares under this prospectus, we will, if necessary and required by law, provide a prospectus supplement that will contain specific information about the terms of that offering.</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these offerings or possession or distribution of this prospectus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205105</wp:posOffset>
            </wp:positionH>
            <wp:positionV relativeFrom="page">
              <wp:posOffset>442595</wp:posOffset>
            </wp:positionV>
            <wp:extent cx="7138035" cy="6943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6943090"/>
                    </a:xfrm>
                    <a:prstGeom prst="rect">
                      <a:avLst/>
                    </a:prstGeom>
                    <a:noFill/>
                  </pic:spPr>
                </pic:pic>
              </a:graphicData>
            </a:graphic>
          </wp:anchor>
        </w:drawing>
        <w:t>PROSPECTUS SUMMARY</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or EVs, and renewable energy storage markets, (ii) nickel-copper-cobalt matte and/or copper cathode for EV wiring, clean energy transmission and other applications and</w:t>
      </w:r>
    </w:p>
    <w:p>
      <w:pPr>
        <w:spacing w:after="0" w:line="4" w:lineRule="exact"/>
        <w:rPr>
          <w:sz w:val="20"/>
          <w:szCs w:val="20"/>
          <w:color w:val="auto"/>
        </w:rPr>
      </w:pPr>
    </w:p>
    <w:p>
      <w:pPr>
        <w:jc w:val="both"/>
        <w:ind w:firstLine="5"/>
        <w:spacing w:after="0" w:line="251" w:lineRule="auto"/>
        <w:tabs>
          <w:tab w:leader="none" w:pos="32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key strategic alliances with (i) Allseas Group S.A.,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or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60"/>
          </w:cols>
          <w:pgMar w:left="660" w:top="1011" w:right="67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205105</wp:posOffset>
            </wp:positionH>
            <wp:positionV relativeFrom="page">
              <wp:posOffset>442595</wp:posOffset>
            </wp:positionV>
            <wp:extent cx="7138035" cy="5994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5994400"/>
                    </a:xfrm>
                    <a:prstGeom prst="rect">
                      <a:avLst/>
                    </a:prstGeom>
                    <a:noFill/>
                  </pic:spPr>
                </pic:pic>
              </a:graphicData>
            </a:graphic>
          </wp:anchor>
        </w:drawing>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environmental, social and governance (ESG) impacts of offshore nodule collection, and (iv) developing onshore technology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NORI Initial Assessment and TOML Mineral Resource Statement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60"/>
          </w:cols>
          <w:pgMar w:left="660" w:top="101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442595</wp:posOffset>
            </wp:positionV>
            <wp:extent cx="7138035" cy="7350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735012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46 of this prospectus.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Business Combination, SOAC changed its name to “TMC the metals company Inc.” Our principal executive offices are located at 595 Howe Street, 10th Floor, Vancouver, British Columbia V6C 2T5, and our telephone number is (574) 252-9333.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 Under This Prospectus by Us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320" w:hanging="315"/>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6"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and other options to purchase additional securities, if any; and</w:t>
      </w:r>
    </w:p>
    <w:p>
      <w:pPr>
        <w:spacing w:after="0" w:line="6"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by us unless it is accompanied by a prospectus supplement.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Selling Shareholders May Offer</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selling shareholders named in this prospectus may offer and resell from time to time up to 38,266,180 Common Shares. We will not receive any proceeds from the sale of Common Shares by the selling shareholders. Please see the section titled “Selling Shareholders” in this prospectus.</w:t>
      </w: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60"/>
          </w:cols>
          <w:pgMar w:left="660" w:top="1229" w:right="6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5" w:lineRule="exact"/>
        <w:rPr>
          <w:sz w:val="20"/>
          <w:szCs w:val="20"/>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5"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6"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p>
      <w:pPr>
        <w:spacing w:after="0" w:line="1"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6" w:lineRule="exact"/>
        <w:rPr>
          <w:rFonts w:ascii="Times New Roman" w:cs="Times New Roman" w:eastAsia="Times New Roman" w:hAnsi="Times New Roman"/>
          <w:sz w:val="18"/>
          <w:szCs w:val="18"/>
          <w:color w:val="auto"/>
        </w:rPr>
      </w:pPr>
    </w:p>
    <w:p>
      <w:pPr>
        <w:ind w:left="1280" w:hanging="633"/>
        <w:spacing w:after="0" w:line="24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ISA’s final exploitation regulations that will create the legal and technical framework for exploitation of polymetallic nodules in the CCZ;</w:t>
      </w: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6" w:lineRule="exact"/>
        <w:rPr>
          <w:rFonts w:ascii="Times New Roman" w:cs="Times New Roman" w:eastAsia="Times New Roman" w:hAnsi="Times New Roman"/>
          <w:sz w:val="18"/>
          <w:szCs w:val="18"/>
          <w:color w:val="auto"/>
        </w:rPr>
      </w:pPr>
    </w:p>
    <w:p>
      <w:pPr>
        <w:ind w:left="1280" w:right="20" w:hanging="633"/>
        <w:spacing w:after="0" w:line="24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1280" w:hanging="633"/>
        <w:spacing w:after="0" w:line="24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on hand to meet our working capital and capital expenditure requirements and the need for additional financing;</w:t>
      </w:r>
    </w:p>
    <w:p>
      <w:pPr>
        <w:spacing w:after="0" w:line="17" w:lineRule="exact"/>
        <w:rPr>
          <w:rFonts w:ascii="Times New Roman" w:cs="Times New Roman" w:eastAsia="Times New Roman" w:hAnsi="Times New Roman"/>
          <w:sz w:val="17"/>
          <w:szCs w:val="17"/>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the nature of such financings;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1280" w:hanging="633"/>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5"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shareholders will make offers and sales pursuant to this prospectus and, if required, any applicable prospectus supplement. We will not receive any proceeds from the sale or other disposition by the selling shareholders of the Common Shares covered hereby, or interests therein. The selling shareholders will pay any expenses incurred by the selling shareholders for brokerage, accounting, tax or legal services or any other expenses incurred by the selling shareholders in disposing of these shares. We will bear all other costs, fees and expenses incurred in effecting the registration of the shares covered by this prospectus, including, without limitation, all registration fees, listing fees of The Nasdaq Stock Market and fees and expenses of our counsel and our independent registered public accounting firm.</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registering for resale an aggregate of 38,266,180 Common Shares that may be sold by the selling shareholders set forth herein. Of these shares, 37,978,680 Common Shares were issued or are expected to be issued to the selling shareholders pursuant to that certain securities purchase agreement, dated August 12, 2022, or the PIPE Purchase Agreement, with the purchasers named therein for the issuance and sale of an aggregate of 31,625,000 Common Shares at a purchase price of $0.80 per share, a separate securities purchase agreement with Gerard Barron, our Chief Executive Officer and Chairman, or the Barron Purchase Agreement, for the issuance and sale of 103,680 Common Shares at $0.9645 per share, the consolidated closing bid price per Common Share on the Nasdaq Global Select Market on August 11, 2022, the date immediately preceding the signing of the Barron Purchase Agreement, and a separate securities purchase agreement with ERAS Capital LLC, the family fund of one of our directors, Andrei Karkar, for the issuance and sale of 6,250,000 Common Shares at a purchase price of $0.80 per share, or the ERAS Purchase Agreement, under which, upon delivery by us of certain closing deliverables, ERAS Capital LLC is irrevocably bound to purchase such Common Shares on or before September 30, 2022. The PIPE Purchase Agreement, the Barron Purchase Agreement and the ERAS Purchase Agreement are referred to herein collectively as the Purchase Agreements. An aggregate of 287,500 Common Shares were issued to certain of our advisors in connection with advisory services they rendered related to the issuances of Common Shares pursuant to the Purchase Agreements. We are registering the resale of these Common Shares pursuant to the Purchase Agreements as well as arrangements with certain of our advisors. We will not receive any proceeds from the resale of the Common Shares by the selling shareholders.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and the accompanying footnotes are based in part on information supplied to us by the selling shareholders. The table and footnotes assume that the selling shareholders will sell all of the shares listed. However, because the selling shareholders may sell all or some of their shares under this prospectus from time to time, or in another permitted manner, we cannot assure you as to the actual number of shares that will be sold by the selling shareholders or that will be held by the selling shareholders after completion of any sales. We do not know how long the selling shareholders will hold the shares before selling them.</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Shares as of August 31, 2022 by each selling shareholder. Beneficial ownership is determined in accordance with the rules of the SEC and includes voting or investment power with respect to the securities. We deem Common Shares that may be acquired by an individual or group within 60 days of August 31, 2022 pursuant to the exercise of options or conversion of convertible securities to be outstanding for the purpose of computing the percentage ownership of such individual or group, but those shares are not deemed to be outstanding for the purpose of computing the percentage ownership of any other person shown in the table. The Common Shares issuable upon conversion of any Special Shares owned by the selling shareholders are not beneficially owned by any of the selling shareholders and are excluded from the beneficial ownership columns in the table below since the conversions of such Special Shares are subject to the Common Share trading price thresholds described herein. Please see the section titled “Description of Common Shares and Special Shares” in this prospectus. Except as indicated in footnotes to this table, we believe that the shareholders named in this table have sole voting and investment power with respect to all Common Shares shown to be beneficially owned by them based on information provided to us by these shareholders. Percentage of ownership prior to the offering is based on 265,424,635 Common Shares outstanding on August 31, 2022, assuming that we issued all of the 37,978,680 Common Shares issuable under the Purchase Agreements and the 287,500 Common Shares issued to our advisors on or before such date.</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Common Shares to be</w:t>
            </w:r>
          </w:p>
        </w:tc>
        <w:tc>
          <w:tcPr>
            <w:tcW w:w="0" w:type="dxa"/>
            <w:vAlign w:val="bottom"/>
          </w:tcPr>
          <w:p>
            <w:pPr>
              <w:spacing w:after="0"/>
              <w:rPr>
                <w:sz w:val="1"/>
                <w:szCs w:val="1"/>
                <w:color w:val="auto"/>
              </w:rPr>
            </w:pPr>
          </w:p>
        </w:tc>
      </w:tr>
      <w:tr>
        <w:trPr>
          <w:trHeight w:val="213"/>
        </w:trPr>
        <w:tc>
          <w:tcPr>
            <w:tcW w:w="5420" w:type="dxa"/>
            <w:vAlign w:val="bottom"/>
          </w:tcPr>
          <w:p>
            <w:pPr>
              <w:spacing w:after="0"/>
              <w:rPr>
                <w:sz w:val="18"/>
                <w:szCs w:val="18"/>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Common Shares Beneficially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Beneficially Owned After</w:t>
            </w:r>
          </w:p>
        </w:tc>
        <w:tc>
          <w:tcPr>
            <w:tcW w:w="0" w:type="dxa"/>
            <w:vAlign w:val="bottom"/>
          </w:tcPr>
          <w:p>
            <w:pPr>
              <w:spacing w:after="0"/>
              <w:rPr>
                <w:sz w:val="1"/>
                <w:szCs w:val="1"/>
                <w:color w:val="auto"/>
              </w:rPr>
            </w:pPr>
          </w:p>
        </w:tc>
      </w:tr>
      <w:tr>
        <w:trPr>
          <w:trHeight w:val="236"/>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Selling Shareholder</w:t>
            </w:r>
            <w:r>
              <w:rPr>
                <w:rFonts w:ascii="Times New Roman" w:cs="Times New Roman" w:eastAsia="Times New Roman" w:hAnsi="Times New Roman"/>
                <w:sz w:val="29"/>
                <w:szCs w:val="29"/>
                <w:b w:val="1"/>
                <w:bCs w:val="1"/>
                <w:color w:val="auto"/>
                <w:vertAlign w:val="superscript"/>
              </w:rPr>
              <w:t>(1)</w:t>
            </w:r>
          </w:p>
        </w:tc>
        <w:tc>
          <w:tcPr>
            <w:tcW w:w="24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Owned Prior to Offering</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Being</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7"/>
        </w:trPr>
        <w:tc>
          <w:tcPr>
            <w:tcW w:w="5420" w:type="dxa"/>
            <w:vAlign w:val="bottom"/>
            <w:vMerge w:val="continue"/>
          </w:tcPr>
          <w:p>
            <w:pPr>
              <w:spacing w:after="0"/>
              <w:rPr>
                <w:sz w:val="17"/>
                <w:szCs w:val="17"/>
                <w:color w:val="auto"/>
              </w:rPr>
            </w:pPr>
          </w:p>
        </w:tc>
        <w:tc>
          <w:tcPr>
            <w:tcW w:w="12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Borders>
              <w:top w:val="single" w:sz="8" w:color="CCEEFF"/>
            </w:tcBorders>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Willeese Pty Ltd ATF Wilson Family Trust</w:t>
            </w:r>
            <w:r>
              <w:rPr>
                <w:rFonts w:ascii="Times New Roman" w:cs="Times New Roman" w:eastAsia="Times New Roman" w:hAnsi="Times New Roman"/>
                <w:sz w:val="27"/>
                <w:szCs w:val="27"/>
                <w:color w:val="auto"/>
                <w:vertAlign w:val="superscript"/>
              </w:rPr>
              <w:t>(2)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1,522,990</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1,147,990</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Cadence Capital Limited</w:t>
            </w:r>
            <w:r>
              <w:rPr>
                <w:rFonts w:ascii="Times New Roman" w:cs="Times New Roman" w:eastAsia="Times New Roman" w:hAnsi="Times New Roman"/>
                <w:sz w:val="29"/>
                <w:szCs w:val="29"/>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Cadence Opportunities Fund Limited</w:t>
            </w:r>
            <w:r>
              <w:rPr>
                <w:rFonts w:ascii="Times New Roman" w:cs="Times New Roman" w:eastAsia="Times New Roman" w:hAnsi="Times New Roman"/>
                <w:sz w:val="29"/>
                <w:szCs w:val="29"/>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Carrera Capital International Ltd.</w:t>
            </w:r>
            <w:r>
              <w:rPr>
                <w:rFonts w:ascii="Times New Roman" w:cs="Times New Roman" w:eastAsia="Times New Roman" w:hAnsi="Times New Roman"/>
                <w:sz w:val="29"/>
                <w:szCs w:val="29"/>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1,719,890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1,469,890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Lucas Cahill</w:t>
            </w:r>
            <w:r>
              <w:rPr>
                <w:rFonts w:ascii="Times New Roman" w:cs="Times New Roman" w:eastAsia="Times New Roman" w:hAnsi="Times New Roman"/>
                <w:sz w:val="29"/>
                <w:szCs w:val="29"/>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1,198,298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Brian Paes-Braga</w:t>
            </w:r>
            <w:r>
              <w:rPr>
                <w:rFonts w:ascii="Times New Roman" w:cs="Times New Roman" w:eastAsia="Times New Roman" w:hAnsi="Times New Roman"/>
                <w:sz w:val="29"/>
                <w:szCs w:val="29"/>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2,325,731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763,231</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Valola Holdings Corp.</w:t>
            </w:r>
            <w:r>
              <w:rPr>
                <w:rFonts w:ascii="Times New Roman" w:cs="Times New Roman" w:eastAsia="Times New Roman" w:hAnsi="Times New Roman"/>
                <w:sz w:val="29"/>
                <w:szCs w:val="29"/>
                <w:color w:val="auto"/>
                <w:vertAlign w:val="superscript"/>
              </w:rPr>
              <w:t>(8)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South Lake One LLC</w:t>
            </w:r>
            <w:r>
              <w:rPr>
                <w:rFonts w:ascii="Times New Roman" w:cs="Times New Roman" w:eastAsia="Times New Roman" w:hAnsi="Times New Roman"/>
                <w:sz w:val="29"/>
                <w:szCs w:val="29"/>
                <w:color w:val="auto"/>
                <w:vertAlign w:val="superscript"/>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12,284,667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9,784,667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Brian Stewart</w:t>
            </w:r>
            <w:r>
              <w:rPr>
                <w:rFonts w:ascii="Times New Roman" w:cs="Times New Roman" w:eastAsia="Times New Roman" w:hAnsi="Times New Roman"/>
                <w:sz w:val="29"/>
                <w:szCs w:val="29"/>
                <w:color w:val="auto"/>
                <w:vertAlign w:val="superscript"/>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Namdar Family Holdings LLC</w:t>
            </w:r>
            <w:r>
              <w:rPr>
                <w:rFonts w:ascii="Times New Roman" w:cs="Times New Roman" w:eastAsia="Times New Roman" w:hAnsi="Times New Roman"/>
                <w:sz w:val="29"/>
                <w:szCs w:val="29"/>
                <w:color w:val="auto"/>
                <w:vertAlign w:val="superscript"/>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Majid Fahd M Alghaslan</w:t>
            </w:r>
            <w:r>
              <w:rPr>
                <w:rFonts w:ascii="Times New Roman" w:cs="Times New Roman" w:eastAsia="Times New Roman" w:hAnsi="Times New Roman"/>
                <w:sz w:val="29"/>
                <w:szCs w:val="29"/>
                <w:color w:val="auto"/>
                <w:vertAlign w:val="superscript"/>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BMO Nesbitt Burns Inc. ITF Lynwood Opportunities Master Fund</w:t>
            </w:r>
            <w:r>
              <w:rPr>
                <w:rFonts w:ascii="Times New Roman" w:cs="Times New Roman" w:eastAsia="Times New Roman" w:hAnsi="Times New Roman"/>
                <w:sz w:val="29"/>
                <w:szCs w:val="29"/>
                <w:color w:val="auto"/>
                <w:vertAlign w:val="superscript"/>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Nero Resource Fund Pty Ltd</w:t>
            </w:r>
            <w:r>
              <w:rPr>
                <w:rFonts w:ascii="Times New Roman" w:cs="Times New Roman" w:eastAsia="Times New Roman" w:hAnsi="Times New Roman"/>
                <w:sz w:val="29"/>
                <w:szCs w:val="29"/>
                <w:color w:val="auto"/>
                <w:vertAlign w:val="superscript"/>
              </w:rPr>
              <w:t>(14)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Peter Jon Deschenes Jr</w:t>
            </w:r>
            <w:r>
              <w:rPr>
                <w:rFonts w:ascii="Times New Roman" w:cs="Times New Roman" w:eastAsia="Times New Roman" w:hAnsi="Times New Roman"/>
                <w:sz w:val="29"/>
                <w:szCs w:val="29"/>
                <w:color w:val="auto"/>
                <w:vertAlign w:val="superscript"/>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The RF Trust</w:t>
            </w:r>
            <w:r>
              <w:rPr>
                <w:rFonts w:ascii="Times New Roman" w:cs="Times New Roman" w:eastAsia="Times New Roman" w:hAnsi="Times New Roman"/>
                <w:sz w:val="29"/>
                <w:szCs w:val="29"/>
                <w:color w:val="auto"/>
                <w:vertAlign w:val="superscript"/>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Gadi Slade</w:t>
            </w:r>
            <w:r>
              <w:rPr>
                <w:rFonts w:ascii="Times New Roman" w:cs="Times New Roman" w:eastAsia="Times New Roman" w:hAnsi="Times New Roman"/>
                <w:sz w:val="29"/>
                <w:szCs w:val="29"/>
                <w:color w:val="auto"/>
                <w:vertAlign w:val="superscript"/>
              </w:rPr>
              <w:t>(17)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Ronit Global Opportunities Master Fund Limited</w:t>
            </w:r>
            <w:r>
              <w:rPr>
                <w:rFonts w:ascii="Times New Roman" w:cs="Times New Roman" w:eastAsia="Times New Roman" w:hAnsi="Times New Roman"/>
                <w:sz w:val="29"/>
                <w:szCs w:val="29"/>
                <w:color w:val="auto"/>
                <w:vertAlign w:val="superscript"/>
              </w:rPr>
              <w:t>(18)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1,748,154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Leste Global Fund SPC - Segregated Portfolio B</w:t>
            </w:r>
            <w:r>
              <w:rPr>
                <w:rFonts w:ascii="Times New Roman" w:cs="Times New Roman" w:eastAsia="Times New Roman" w:hAnsi="Times New Roman"/>
                <w:sz w:val="29"/>
                <w:szCs w:val="29"/>
                <w:color w:val="auto"/>
                <w:vertAlign w:val="superscript"/>
              </w:rPr>
              <w:t>(19)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Light Doors LLC</w:t>
            </w:r>
            <w:r>
              <w:rPr>
                <w:rFonts w:ascii="Times New Roman" w:cs="Times New Roman" w:eastAsia="Times New Roman" w:hAnsi="Times New Roman"/>
                <w:sz w:val="29"/>
                <w:szCs w:val="29"/>
                <w:color w:val="auto"/>
                <w:vertAlign w:val="superscript"/>
              </w:rPr>
              <w:t>(20)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Lydia Barron</w:t>
            </w:r>
            <w:r>
              <w:rPr>
                <w:rFonts w:ascii="Times New Roman" w:cs="Times New Roman" w:eastAsia="Times New Roman" w:hAnsi="Times New Roman"/>
                <w:sz w:val="29"/>
                <w:szCs w:val="29"/>
                <w:color w:val="auto"/>
                <w:vertAlign w:val="superscript"/>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Claudia Barron</w:t>
            </w:r>
            <w:r>
              <w:rPr>
                <w:rFonts w:ascii="Times New Roman" w:cs="Times New Roman" w:eastAsia="Times New Roman" w:hAnsi="Times New Roman"/>
                <w:sz w:val="29"/>
                <w:szCs w:val="29"/>
                <w:color w:val="auto"/>
                <w:vertAlign w:val="superscript"/>
              </w:rPr>
              <w:t>(22)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Charlotte Barron</w:t>
            </w:r>
            <w:r>
              <w:rPr>
                <w:rFonts w:ascii="Times New Roman" w:cs="Times New Roman" w:eastAsia="Times New Roman" w:hAnsi="Times New Roman"/>
                <w:sz w:val="29"/>
                <w:szCs w:val="29"/>
                <w:color w:val="auto"/>
                <w:vertAlign w:val="superscript"/>
              </w:rPr>
              <w:t>(23)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Allseas Group S.A.</w:t>
            </w:r>
            <w:r>
              <w:rPr>
                <w:rFonts w:ascii="Times New Roman" w:cs="Times New Roman" w:eastAsia="Times New Roman" w:hAnsi="Times New Roman"/>
                <w:sz w:val="29"/>
                <w:szCs w:val="29"/>
                <w:color w:val="auto"/>
                <w:vertAlign w:val="superscript"/>
              </w:rPr>
              <w:t>(24)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22,701,648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Gerard Barron</w:t>
            </w:r>
            <w:r>
              <w:rPr>
                <w:rFonts w:ascii="Times New Roman" w:cs="Times New Roman" w:eastAsia="Times New Roman" w:hAnsi="Times New Roman"/>
                <w:sz w:val="29"/>
                <w:szCs w:val="29"/>
                <w:color w:val="auto"/>
                <w:vertAlign w:val="superscript"/>
              </w:rPr>
              <w:t>(25)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18,806,677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18,702,997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ERAS Capital LLC</w:t>
            </w:r>
            <w:r>
              <w:rPr>
                <w:rFonts w:ascii="Times New Roman" w:cs="Times New Roman" w:eastAsia="Times New Roman" w:hAnsi="Times New Roman"/>
                <w:sz w:val="29"/>
                <w:szCs w:val="29"/>
                <w:color w:val="auto"/>
                <w:vertAlign w:val="superscript"/>
              </w:rPr>
              <w:t>(26)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53,370,692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47,120,692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Odeon Capital Group LLC</w:t>
            </w:r>
            <w:r>
              <w:rPr>
                <w:rFonts w:ascii="Times New Roman" w:cs="Times New Roman" w:eastAsia="Times New Roman" w:hAnsi="Times New Roman"/>
                <w:sz w:val="29"/>
                <w:szCs w:val="29"/>
                <w:color w:val="auto"/>
                <w:vertAlign w:val="superscript"/>
              </w:rPr>
              <w:t>(27)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Edward Sugar</w:t>
            </w:r>
            <w:r>
              <w:rPr>
                <w:rFonts w:ascii="Times New Roman" w:cs="Times New Roman" w:eastAsia="Times New Roman" w:hAnsi="Times New Roman"/>
                <w:sz w:val="29"/>
                <w:szCs w:val="29"/>
                <w:color w:val="auto"/>
                <w:vertAlign w:val="superscript"/>
              </w:rPr>
              <w:t>(28)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Rogier de la Rambelje</w:t>
            </w:r>
            <w:r>
              <w:rPr>
                <w:rFonts w:ascii="Times New Roman" w:cs="Times New Roman" w:eastAsia="Times New Roman" w:hAnsi="Times New Roman"/>
                <w:sz w:val="29"/>
                <w:szCs w:val="29"/>
                <w:color w:val="auto"/>
                <w:vertAlign w:val="superscript"/>
              </w:rPr>
              <w:t>(29)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Matthew Bonner</w:t>
            </w:r>
            <w:r>
              <w:rPr>
                <w:rFonts w:ascii="Times New Roman" w:cs="Times New Roman" w:eastAsia="Times New Roman" w:hAnsi="Times New Roman"/>
                <w:sz w:val="29"/>
                <w:szCs w:val="29"/>
                <w:color w:val="auto"/>
                <w:vertAlign w:val="superscript"/>
              </w:rPr>
              <w:t>(30)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Shares.</w:t>
      </w:r>
    </w:p>
    <w:p>
      <w:pPr>
        <w:spacing w:after="0" w:line="25" w:lineRule="exact"/>
        <w:rPr>
          <w:rFonts w:ascii="Times New Roman" w:cs="Times New Roman" w:eastAsia="Times New Roman" w:hAnsi="Times New Roman"/>
          <w:sz w:val="18"/>
          <w:szCs w:val="18"/>
          <w:color w:val="auto"/>
        </w:rPr>
      </w:pPr>
    </w:p>
    <w:p>
      <w:pPr>
        <w:ind w:left="460" w:right="20" w:hanging="449"/>
        <w:spacing w:after="0" w:line="247"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these holders is c/o TMC the metals company Inc., 595 Howe Street, 10th Floor, Vancouver, British Columbia, Canada V6C 2T5.</w:t>
      </w:r>
    </w:p>
    <w:p>
      <w:pPr>
        <w:ind w:left="460" w:hanging="449"/>
        <w:spacing w:after="0" w:line="247"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David Wilson may be deemed to have voting and investment power over the shares held by Willeese Pty Ltd ATF Wilson Family Trust. The business address of such holder is 58 Warragal Road, Turramurra, New South Wales, 2074, Australia.</w:t>
      </w:r>
    </w:p>
    <w:p>
      <w:pPr>
        <w:ind w:left="460" w:hanging="449"/>
        <w:spacing w:after="0" w:line="247"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Capital Limited is a company listed on the Australian Securities Exchange. The business address of such holder is 11/131 Macquarie Street, Sydney, NSW, 2000.</w:t>
      </w:r>
    </w:p>
    <w:p>
      <w:pPr>
        <w:ind w:left="460" w:right="20" w:hanging="449"/>
        <w:spacing w:after="0" w:line="247"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Opportunities Fund Limited is a company listed on the Australian Securities Exchange. The business address of such holder is 11/131 Macquarie Street, Sydney, NSW, 2000.</w:t>
      </w:r>
    </w:p>
    <w:p>
      <w:pPr>
        <w:ind w:left="460" w:hanging="449"/>
        <w:spacing w:after="0" w:line="255"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Zicherman may be deemed to have voting and investment power over the shares held by Carrera Capital International Ltd. The business address of such holder is One Nexus Way, Camana Bay, Grand Cayman, Cayman Islands, KY1-9005.</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One Connaught Place, 1st Floor, London, W2 WET, United Kingdom.</w:t>
      </w:r>
    </w:p>
    <w:p>
      <w:pPr>
        <w:spacing w:after="0" w:line="25" w:lineRule="exact"/>
        <w:rPr>
          <w:rFonts w:ascii="Times New Roman" w:cs="Times New Roman" w:eastAsia="Times New Roman" w:hAnsi="Times New Roman"/>
          <w:sz w:val="18"/>
          <w:szCs w:val="18"/>
          <w:color w:val="auto"/>
        </w:rPr>
      </w:pP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57,893 Common Shares held by its wholly-owned subsidiary, WTP Capital Corp. and 126,407 Common Shares underlying options that are exercisable within 60 days of August 31, 2022. Mr. Paes-Braga may be deemed to have voting and investment power over the shares held by WTP Capital Corp. and Valola Holdings Corp. The business address of such holder is One Connaught Place, 1st Floor, London, W2 WET, United Kingdom. Mr. Paes-Braga was formerly a non-employee director of DeepGreen.</w:t>
      </w:r>
    </w:p>
    <w:p>
      <w:pPr>
        <w:spacing w:after="0" w:line="1" w:lineRule="exact"/>
        <w:rPr>
          <w:rFonts w:ascii="Times New Roman" w:cs="Times New Roman" w:eastAsia="Times New Roman" w:hAnsi="Times New Roman"/>
          <w:sz w:val="18"/>
          <w:szCs w:val="18"/>
          <w:color w:val="auto"/>
        </w:rPr>
      </w:pPr>
    </w:p>
    <w:p>
      <w:pPr>
        <w:ind w:left="449" w:right="20"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Paes-Braga may be deemed to have voting and investment power over the shares held by Valola Holdings Corp. The business address of such holder is One Nexus Way, Camana Bay, Grand Cayman, Cayman Islands, KY1-9005.</w:t>
      </w: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Isidoro Alfonso Quiroga Cortés, María Victoria Quiroga Moreno, Martín Abraham Guiloff Salvador and Luis Felipe Correa González, in their capacity as members of the board of managers, may be deemed to have voting and dispositive power (acting jointly Isidoro Alfonso Quiroga Cortés or María Victoria Quiroga Moreno with any of between Martín Abraham Guiloff Salvador and Luis Felipe Correa González)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8"/>
          <w:szCs w:val="18"/>
          <w:color w:val="auto"/>
        </w:rPr>
      </w:pP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Weathervane Circle, Cream Ridge, NJ 08514.</w:t>
      </w:r>
    </w:p>
    <w:p>
      <w:pPr>
        <w:spacing w:after="0" w:line="6" w:lineRule="exact"/>
        <w:rPr>
          <w:rFonts w:ascii="Times New Roman" w:cs="Times New Roman" w:eastAsia="Times New Roman" w:hAnsi="Times New Roman"/>
          <w:sz w:val="18"/>
          <w:szCs w:val="18"/>
          <w:color w:val="auto"/>
        </w:rPr>
      </w:pPr>
    </w:p>
    <w:p>
      <w:pPr>
        <w:ind w:left="449" w:right="20"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Igal Namdar may be deemed to have voting and investment power over the shares held by Namdar Family Holdings LLC. The business address of such holder is 150 Great Neck Road, Suite 304, Great Neck, NY, 11021.</w:t>
      </w: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3618, Al Amir Muhammad bin Fahd Rd, Al Qusur Unit 6, Dhahran, Kingdom of Saudi Arabia.</w:t>
      </w:r>
    </w:p>
    <w:p>
      <w:pPr>
        <w:spacing w:after="0" w:line="6" w:lineRule="exact"/>
        <w:rPr>
          <w:rFonts w:ascii="Times New Roman" w:cs="Times New Roman" w:eastAsia="Times New Roman" w:hAnsi="Times New Roman"/>
          <w:sz w:val="18"/>
          <w:szCs w:val="18"/>
          <w:color w:val="auto"/>
        </w:rPr>
      </w:pP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Shapiro may be deemed to have voting and investment power over the shares held by BMO Nesbitt Burns Inc. ITF Lynwood Opportunities Master Fund. The business address of such holder is FG Services Limited, #2206, Cassia Court, 72 Market St., Camana Bay, P.O. Box 30869 Grand Cayman KY1-1204, Cayman Islands.</w:t>
      </w:r>
    </w:p>
    <w:p>
      <w:pPr>
        <w:spacing w:after="0" w:line="1" w:lineRule="exact"/>
        <w:rPr>
          <w:rFonts w:ascii="Times New Roman" w:cs="Times New Roman" w:eastAsia="Times New Roman" w:hAnsi="Times New Roman"/>
          <w:sz w:val="18"/>
          <w:szCs w:val="18"/>
          <w:color w:val="auto"/>
        </w:rPr>
      </w:pP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AAM PO Box 107, Morley, Western Australia, Australia 6943.</w:t>
      </w:r>
    </w:p>
    <w:p>
      <w:pPr>
        <w:spacing w:after="0" w:line="6" w:lineRule="exact"/>
        <w:rPr>
          <w:rFonts w:ascii="Times New Roman" w:cs="Times New Roman" w:eastAsia="Times New Roman" w:hAnsi="Times New Roman"/>
          <w:sz w:val="18"/>
          <w:szCs w:val="18"/>
          <w:color w:val="auto"/>
        </w:rPr>
      </w:pP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115 East 67th Street, Apartment 4B, New York, NY 10065.</w:t>
      </w:r>
    </w:p>
    <w:p>
      <w:pPr>
        <w:spacing w:after="0" w:line="6" w:lineRule="exact"/>
        <w:rPr>
          <w:rFonts w:ascii="Times New Roman" w:cs="Times New Roman" w:eastAsia="Times New Roman" w:hAnsi="Times New Roman"/>
          <w:sz w:val="18"/>
          <w:szCs w:val="18"/>
          <w:color w:val="auto"/>
        </w:rPr>
      </w:pPr>
    </w:p>
    <w:p>
      <w:pPr>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Muriel Rubin and Harriet Rothfeld may be deemed to have voting and investment power over the shares held by The RF Trust. The business address of such holder is PO Box 213399, Royal Palm Beach, Florida 33421.</w:t>
      </w: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Owenoke Park, Westport, CT 06880, USA.</w:t>
      </w:r>
    </w:p>
    <w:p>
      <w:pPr>
        <w:spacing w:after="0" w:line="6" w:lineRule="exact"/>
        <w:rPr>
          <w:rFonts w:ascii="Times New Roman" w:cs="Times New Roman" w:eastAsia="Times New Roman" w:hAnsi="Times New Roman"/>
          <w:sz w:val="18"/>
          <w:szCs w:val="18"/>
          <w:color w:val="auto"/>
        </w:rPr>
      </w:pPr>
    </w:p>
    <w:p>
      <w:pPr>
        <w:ind w:left="449" w:right="20"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Ronit Capital LLP may be deemed to have voting and investment power over the shares held by Ronit Global Opportunities Master Fund Limited. The business address of such holder is C/O Ronit Capital LLP, 20 North Audley Street, London, W1K 6WE, UK.</w:t>
      </w: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Emmanuel Rose Hermann may be deemed to have voting and investment power over the shares held by Leste Global Fund SPC - Segregated Portfolio B. The business address of such holder is Conyers Trust Company (Cayman) Limited, Cricket Square, Hutchins Drive, PO Box 2681, George Town, Grand Cayman, KY1-1111, Cayman Islands.</w:t>
      </w:r>
    </w:p>
    <w:p>
      <w:pPr>
        <w:spacing w:after="0" w:line="1" w:lineRule="exact"/>
        <w:rPr>
          <w:rFonts w:ascii="Times New Roman" w:cs="Times New Roman" w:eastAsia="Times New Roman" w:hAnsi="Times New Roman"/>
          <w:sz w:val="18"/>
          <w:szCs w:val="18"/>
          <w:color w:val="auto"/>
        </w:rPr>
      </w:pPr>
    </w:p>
    <w:p>
      <w:pPr>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Light Doors LLC. The business address of such holder is 750 Lexington Avenue, 27th Floor, NY, NY 10022.</w:t>
      </w: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399,944 Common Shares and (ii) 89,394 Common Shares issued upon exercise of warrants.</w:t>
      </w:r>
    </w:p>
    <w:p>
      <w:pPr>
        <w:spacing w:after="0" w:line="6" w:lineRule="exact"/>
        <w:rPr>
          <w:rFonts w:ascii="Times New Roman" w:cs="Times New Roman" w:eastAsia="Times New Roman" w:hAnsi="Times New Roman"/>
          <w:sz w:val="18"/>
          <w:szCs w:val="18"/>
          <w:color w:val="auto"/>
        </w:rPr>
      </w:pP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300,238 Common Shares and (ii) 89,394 Common Shares issued upon exercise of warrants.</w:t>
      </w:r>
    </w:p>
    <w:p>
      <w:pPr>
        <w:spacing w:after="0" w:line="6" w:lineRule="exact"/>
        <w:rPr>
          <w:rFonts w:ascii="Times New Roman" w:cs="Times New Roman" w:eastAsia="Times New Roman" w:hAnsi="Times New Roman"/>
          <w:sz w:val="18"/>
          <w:szCs w:val="18"/>
          <w:color w:val="auto"/>
        </w:rPr>
      </w:pPr>
    </w:p>
    <w:p>
      <w:pPr>
        <w:ind w:left="449" w:hanging="449"/>
        <w:spacing w:after="0"/>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307,144 Common Shares and (ii) 89,394 Common Shares issued upon exercise of warrants.</w:t>
      </w:r>
    </w:p>
    <w:p>
      <w:pPr>
        <w:spacing w:after="0" w:line="6" w:lineRule="exact"/>
        <w:rPr>
          <w:rFonts w:ascii="Times New Roman" w:cs="Times New Roman" w:eastAsia="Times New Roman" w:hAnsi="Times New Roman"/>
          <w:sz w:val="18"/>
          <w:szCs w:val="18"/>
          <w:color w:val="auto"/>
        </w:rPr>
      </w:pP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11,578,620 Common Shares issuable upon exercise of the warrant held by Allseas Group S.A. (“Allseas”). Edward Heerema, the Administrateur President of Allseas, has sole authority over Allseas. Edward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p>
      <w:pPr>
        <w:spacing w:after="0" w:line="2" w:lineRule="exact"/>
        <w:rPr>
          <w:rFonts w:ascii="Times New Roman" w:cs="Times New Roman" w:eastAsia="Times New Roman" w:hAnsi="Times New Roman"/>
          <w:sz w:val="18"/>
          <w:szCs w:val="18"/>
          <w:color w:val="auto"/>
        </w:rPr>
      </w:pP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14,639,239 Common Shares, (ii) 4,078,044 Common Shares that are issuable upon exercise of options that are exercisable within 60 days of August 31, 2022, and (iii) 89,394 Common Shares underlying warrants.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 w:lineRule="exact"/>
        <w:rPr>
          <w:rFonts w:ascii="Times New Roman" w:cs="Times New Roman" w:eastAsia="Times New Roman" w:hAnsi="Times New Roman"/>
          <w:sz w:val="18"/>
          <w:szCs w:val="18"/>
          <w:color w:val="auto"/>
        </w:rPr>
      </w:pP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51,955,976 Common Shares and (ii) 1,414,716 Common Shares issuable upon exercise of warrants owned by ERAS Capital LLC (“ERAS”). Andrei Karkar has voting and dispositive control over the securities held by ERAS and therefore Mr. Karkar may be deemed to have beneficial ownership of the shares held by ERAS. The business address of such holder is 323 Marina Blvd, San Francisco, CA 94123-1213.</w:t>
      </w:r>
    </w:p>
    <w:p>
      <w:pPr>
        <w:spacing w:after="0" w:line="1" w:lineRule="exact"/>
        <w:rPr>
          <w:rFonts w:ascii="Times New Roman" w:cs="Times New Roman" w:eastAsia="Times New Roman" w:hAnsi="Times New Roman"/>
          <w:sz w:val="18"/>
          <w:szCs w:val="18"/>
          <w:color w:val="auto"/>
        </w:rPr>
      </w:pPr>
    </w:p>
    <w:p>
      <w:pPr>
        <w:jc w:val="both"/>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Odeon Capital Group LLC. The business address of such holder is 750 Lexington Avenue, 27th Floor, NY, NY 10022. The Common Shares being offered were issued by us in connection with advisory services rendered to us related to the issuance of the Common Shares pursuant to the Purchaser Agreement.</w:t>
      </w:r>
    </w:p>
    <w:p>
      <w:pPr>
        <w:spacing w:after="0" w:line="1" w:lineRule="exact"/>
        <w:rPr>
          <w:rFonts w:ascii="Times New Roman" w:cs="Times New Roman" w:eastAsia="Times New Roman" w:hAnsi="Times New Roman"/>
          <w:sz w:val="18"/>
          <w:szCs w:val="18"/>
          <w:color w:val="auto"/>
        </w:rPr>
      </w:pPr>
    </w:p>
    <w:p>
      <w:pPr>
        <w:ind w:left="449"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785 Fifth Avenue, Apt. 11-C, New York, NY 10022. The Common Shares being offered were issued by us in connection with advisory services rendered to us related to the issuance of the Common Shares pursuant to the Purchaser Agreement.</w:t>
      </w:r>
    </w:p>
    <w:p>
      <w:pPr>
        <w:ind w:left="449" w:right="20" w:hanging="449"/>
        <w:spacing w:after="0" w:line="247"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54 Morton Street, Apt 4F, New York, NY 10014. The Common Shares being offered were issued by us in connection with advisory services rendered to us related to the issuance of the Common Shares pursuant to the Purchaser Agreement.</w:t>
      </w:r>
    </w:p>
    <w:p>
      <w:pPr>
        <w:ind w:left="449" w:right="20" w:hanging="449"/>
        <w:spacing w:after="0" w:line="255" w:lineRule="auto"/>
        <w:tabs>
          <w:tab w:leader="none" w:pos="4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3600 North Lake Blvd, #186, Tahoe City, CA 96145. The Common Shares being offered were issued by us in connection with advisory services rendered to us related to the issuance of the Common Shares pursuant to the Purchaser Agreement.</w:t>
      </w:r>
    </w:p>
    <w:p>
      <w:pPr>
        <w:spacing w:after="0" w:line="39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9"/>
          </w:cols>
          <w:pgMar w:left="331" w:top="92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or the selling shareholders may offer securities under this prospectus from time to time pursuant to underwritten public offerings, negotiated transactions, block trades or a combination of these methods or any of the following:</w:t>
      </w:r>
    </w:p>
    <w:p>
      <w:pPr>
        <w:spacing w:after="0" w:line="163" w:lineRule="exact"/>
        <w:rPr>
          <w:sz w:val="20"/>
          <w:szCs w:val="20"/>
          <w:color w:val="auto"/>
        </w:rPr>
      </w:pP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5" w:lineRule="exact"/>
        <w:rPr>
          <w:rFonts w:ascii="Times New Roman" w:cs="Times New Roman" w:eastAsia="Times New Roman" w:hAnsi="Times New Roman"/>
          <w:sz w:val="18"/>
          <w:szCs w:val="18"/>
          <w:color w:val="auto"/>
        </w:rPr>
      </w:pPr>
    </w:p>
    <w:p>
      <w:pPr>
        <w:ind w:left="1300" w:right="20" w:hanging="648"/>
        <w:spacing w:after="0" w:line="247"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6"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6"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6"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6"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6" w:lineRule="exact"/>
        <w:rPr>
          <w:rFonts w:ascii="Times New Roman" w:cs="Times New Roman" w:eastAsia="Times New Roman" w:hAnsi="Times New Roman"/>
          <w:sz w:val="18"/>
          <w:szCs w:val="18"/>
          <w:color w:val="auto"/>
        </w:rPr>
      </w:pPr>
    </w:p>
    <w:p>
      <w:pPr>
        <w:ind w:left="1300" w:hanging="648"/>
        <w:spacing w:after="0" w:line="247"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6"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or the selling shareholders may sell the securities (1) through underwriters or dealers, (2) through agents or (3) directly to one or more purchasers, or through a combination of such methods. We or the selling shareholders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81" w:lineRule="exact"/>
        <w:rPr>
          <w:sz w:val="20"/>
          <w:szCs w:val="20"/>
          <w:color w:val="auto"/>
        </w:rPr>
      </w:pPr>
    </w:p>
    <w:p>
      <w:pPr>
        <w:ind w:left="1300" w:hanging="64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5"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6"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6"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we or the selling shareholders utilize a dealer in the sale of the securities being offered by this prospectus, we or the selling shareholders, as applicable, will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or the selling shareholders,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securities may enter into agreements to indemnify underwriters, dealers and agents against civil liabilities, including liabilities under the Securities Act, or to contribute to payments they may be required to make in respect thereof. To the extent required by the Purchase Agreements, we have agreed to indemnify certain of the selling shareholders against liabilities, including liabilities under the Securities Act and state securities laws, relating to the registration of certain of the shares offered by this prospectus.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If so indicated in a prospectus supplement, if required, we or the selling shareholders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7" w:lineRule="exact"/>
        <w:rPr>
          <w:sz w:val="20"/>
          <w:szCs w:val="20"/>
          <w:color w:val="auto"/>
        </w:rPr>
      </w:pPr>
    </w:p>
    <w:p>
      <w:pPr>
        <w:ind w:left="1280" w:hanging="633"/>
        <w:spacing w:after="0" w:line="258"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jc w:val="both"/>
        <w:ind w:left="1280" w:hanging="633"/>
        <w:spacing w:after="0" w:line="251"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selling shareholders and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Selling shareholders who are “underwriters” within the meaning of Section 2(a)(11) of the Securities Act will be subject to the prospectus delivery requirements of the Securities Act.</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broker-dealers to participate in sales. If the selling shareholders effect such transactions by selling Common Shares to or through underwriters, broker-dealers or agents, such underwriters, broker-dealers or agents may receive commissions in the form of discounts, concessions or commissions from the selling shareholders or commissions from purchasers of the Common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5110.</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sales of the Common Shares or otherwise, the selling shareholders may enter into hedging transactions with broker-dealers or other financial institutions, which may in turn engage in short sales of the Common Shares in the course of hedging in positions they assume. The selling shareholders may also sell Common Shares short and if such short sale shall take place after the effective date of this registration statement, the selling shareholders may deliver Common Shares covered by this prospectus to close out short positions and to return borrowed shares in connection with such short sales. The selling shareholders may also loan or pledge Common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if required). Notwithstanding the foregoing, the selling shareholders have been advised that they may not use shares registered on this registration statement to cover short sales of Common Shares made prior to the effective date of the registration statement, of which this prospectus forms a part.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Common Shares in other circumstances in which case the transferees, donees, pledgees or other successors in interest will be the selling beneficial owners for purposes of this prospectus.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selling shareholder has informed the Company that it is not a registered broker-dealer and does not have any written or oral agreement or understanding, directly or indirectly, with any person to distribute the Common Shares. Upon the Company being notified in writing by a selling shareholders that any material arrangement has been entered into with a broker-dealer for the sale of Common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shareholders and of the participating broker-dealer(s), (ii) the number of shares involved, (iii) the price at which such the Common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18"/>
          <w:szCs w:val="18"/>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can be no assurance that any selling shareholders will sell any or all of the Common Shares registered pursuant to the shelf registration statement, of which this prospectus forms a part.</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Common Shares by the selling shareholders and any other participating person. Regulation M may also restrict the ability of any person engaged in the distribution of the Common Shares to engage in market-making activities with respect to the Common Shares. All of the foregoing may affect the marketability of the Common Shares and the ability of any person or entity to engage in market-making activities with respect to the Common Shares.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pay all expenses of the registration of the Common Shares pursuant to the Purchase Agreements, including, without limitation, SEC filing fees and expenses of compliance with state securities or “blue sky” laws; provided, however, that each selling shareholder will pay all underwriting discounts and selling commissions, if any. We will indemnify the selling shareholders against certain liabilities, including some liabilities under the Securities Act, in accordance with the Purchase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Purchase Agreements, or we may be entitled to contribution.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 AND SPECIAL SHARES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authorized capital consists of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August 31, 2022, there were 265,424,635 Common Shares issued and outstanding. As of August 31, 2022, we had approximately 122 record holders of our Common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(British Columbia), or the BCBCA, and prior rights of the holders of preferred shares and any other class ranking senior to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for trading on the Nasdaq Global Select Market under the symbol “TMC”.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August 31, 2022,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50"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3" w:lineRule="exact"/>
        <w:rPr>
          <w:sz w:val="20"/>
          <w:szCs w:val="20"/>
          <w:color w:val="auto"/>
        </w:rPr>
      </w:pPr>
    </w:p>
    <w:p>
      <w:pPr>
        <w:jc w:val="both"/>
        <w:ind w:left="640" w:hanging="313"/>
        <w:spacing w:after="0" w:line="25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jc w:val="both"/>
        <w:ind w:left="640" w:hanging="313"/>
        <w:spacing w:after="0" w:line="24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50"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left="640" w:hanging="313"/>
        <w:spacing w:after="0" w:line="25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jc w:val="both"/>
        <w:ind w:left="640" w:hanging="313"/>
        <w:spacing w:after="0" w:line="24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50"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0"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6"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6"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ind w:left="640" w:hanging="313"/>
        <w:spacing w:after="0" w:line="24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No Protection in Event of a Change of Control or Highly Leveraged Transaction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0"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6"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5"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3"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jc w:val="both"/>
        <w:ind w:left="640" w:hanging="313"/>
        <w:spacing w:after="0" w:line="250"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0" w:lineRule="exact"/>
        <w:rPr>
          <w:sz w:val="20"/>
          <w:szCs w:val="20"/>
          <w:color w:val="auto"/>
        </w:rPr>
      </w:pPr>
    </w:p>
    <w:p>
      <w:pPr>
        <w:ind w:left="640" w:hanging="31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5"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1"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5"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3"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62"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0" w:lineRule="exact"/>
        <w:rPr>
          <w:sz w:val="20"/>
          <w:szCs w:val="20"/>
          <w:color w:val="auto"/>
        </w:rPr>
      </w:pPr>
    </w:p>
    <w:p>
      <w:pPr>
        <w:jc w:val="both"/>
        <w:ind w:left="640" w:hanging="313"/>
        <w:spacing w:after="0" w:line="254"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Debenture Trustee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spacing w:after="0" w:line="262"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0"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common shares and the number of our common shares to be received upon exercise of the warrants;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preferred shares, the number of preferred shares to be received upon exercise, and a description of that series of our preferred shares;</w:t>
      </w:r>
    </w:p>
    <w:p>
      <w:pPr>
        <w:ind w:left="640" w:hanging="313"/>
        <w:spacing w:after="0" w:line="24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ind w:left="640" w:hanging="313"/>
        <w:spacing w:after="0" w:line="24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ind w:left="640" w:hanging="313"/>
        <w:spacing w:after="0" w:line="24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warrant agent for the warrants and of any other depositaries, execution or paying agents, transfer agents, registrars or other agents;</w:t>
      </w:r>
    </w:p>
    <w:p>
      <w:pPr>
        <w:spacing w:after="0" w:line="17"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shares, preferred shares and/or debt securities will be separately transferable;</w:t>
      </w: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warrants;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we offer will be set forth in the applicable prospectus supplement.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August 31, 2022,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0" w:lineRule="exact"/>
        <w:rPr>
          <w:sz w:val="20"/>
          <w:szCs w:val="20"/>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51"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w:t>
      </w:r>
    </w:p>
    <w:p>
      <w:pPr>
        <w:spacing w:after="0" w:line="5" w:lineRule="exact"/>
        <w:rPr>
          <w:sz w:val="20"/>
          <w:szCs w:val="20"/>
          <w:color w:val="auto"/>
        </w:rPr>
      </w:pPr>
    </w:p>
    <w:p>
      <w:pPr>
        <w:jc w:val="both"/>
        <w:ind w:firstLine="7"/>
        <w:spacing w:after="0" w:line="248" w:lineRule="auto"/>
        <w:tabs>
          <w:tab w:leader="none" w:pos="2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57"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w:t>
      </w:r>
    </w:p>
    <w:p>
      <w:pPr>
        <w:spacing w:after="0" w:line="1" w:lineRule="exact"/>
        <w:rPr>
          <w:sz w:val="20"/>
          <w:szCs w:val="20"/>
          <w:color w:val="auto"/>
        </w:rPr>
      </w:pPr>
    </w:p>
    <w:p>
      <w:pPr>
        <w:jc w:val="both"/>
        <w:ind w:firstLine="7"/>
        <w:spacing w:after="0" w:line="267" w:lineRule="auto"/>
        <w:tabs>
          <w:tab w:leader="none" w:pos="26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Warrant Agent and Registrar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is Continental Stock Transfer &amp; Trust Company.</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listed for trading on the Nasdaq Global Select Market under the symbol “TMCWW”.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August 31, 2022,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Allseas Warrant</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4, 2021, DeepGreen issued a warrant to Allseas Group S.A., or the Allseas Warrant, which shall vest upon successful completion of a prescribed project, referred to as the PMTS, and become exercisable for a maximum of 11,578,620 Common Shares (as it may be adjusted based on the formula described therein) at a purchase price of $0.01 per share. A maximum of 11.6 million warrants to purchase common shares will vest if the PMTS is completed by September 30, 2023, gradually decreasing to 5.8 million warrants to purchase Common Shares if PMTS is completed after September 30, 2025. The Allseas Warrant shall vest only upon (and not before) the successful completion of PMTS and will expire on September 30, 2026.</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0" w:lineRule="exact"/>
        <w:rPr>
          <w:sz w:val="20"/>
          <w:szCs w:val="20"/>
          <w:color w:val="auto"/>
        </w:rPr>
      </w:pPr>
    </w:p>
    <w:p>
      <w:pPr>
        <w:ind w:left="640" w:right="20" w:hanging="313"/>
        <w:spacing w:after="0" w:line="258"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unit agreement;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articles and articles do not contain stated objects or purposes and do not place any limitations on the business that we may carry 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w:t>
      </w:r>
    </w:p>
    <w:p>
      <w:pPr>
        <w:spacing w:after="0" w:line="1" w:lineRule="exact"/>
        <w:rPr>
          <w:sz w:val="20"/>
          <w:szCs w:val="20"/>
          <w:color w:val="auto"/>
        </w:rPr>
      </w:pPr>
    </w:p>
    <w:p>
      <w:pPr>
        <w:jc w:val="both"/>
        <w:ind w:firstLine="7"/>
        <w:spacing w:after="0" w:line="248" w:lineRule="auto"/>
        <w:tabs>
          <w:tab w:leader="none" w:pos="2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of articles and articles on the right of a non-resident to hold or vote Common Shares, other than discussed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line="277"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3" w:lineRule="exact"/>
        <w:rPr>
          <w:sz w:val="20"/>
          <w:szCs w:val="20"/>
          <w:color w:val="auto"/>
        </w:rPr>
      </w:pPr>
    </w:p>
    <w:p>
      <w:pPr>
        <w:ind w:left="960" w:hanging="31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5" w:lineRule="exact"/>
        <w:rPr>
          <w:rFonts w:ascii="Times New Roman" w:cs="Times New Roman" w:eastAsia="Times New Roman" w:hAnsi="Times New Roman"/>
          <w:sz w:val="18"/>
          <w:szCs w:val="18"/>
          <w:color w:val="auto"/>
        </w:rPr>
      </w:pPr>
    </w:p>
    <w:p>
      <w:pPr>
        <w:ind w:left="960" w:hanging="313"/>
        <w:spacing w:after="0" w:line="247"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ind w:left="960" w:right="20" w:hanging="313"/>
        <w:spacing w:after="0" w:line="255"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99" w:lineRule="exact"/>
        <w:rPr>
          <w:sz w:val="20"/>
          <w:szCs w:val="20"/>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5" w:lineRule="exact"/>
        <w:rPr>
          <w:rFonts w:ascii="Times New Roman" w:cs="Times New Roman" w:eastAsia="Times New Roman" w:hAnsi="Times New Roman"/>
          <w:sz w:val="18"/>
          <w:szCs w:val="18"/>
          <w:color w:val="auto"/>
        </w:rPr>
      </w:pPr>
    </w:p>
    <w:p>
      <w:pPr>
        <w:ind w:left="700" w:hanging="320"/>
        <w:spacing w:after="0" w:line="183" w:lineRule="auto"/>
        <w:tabs>
          <w:tab w:leader="none" w:pos="700" w:val="left"/>
        </w:tabs>
        <w:numPr>
          <w:ilvl w:val="0"/>
          <w:numId w:val="28"/>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 w:lineRule="exact"/>
        <w:rPr>
          <w:rFonts w:ascii="Times New Roman" w:cs="Times New Roman" w:eastAsia="Times New Roman" w:hAnsi="Times New Roman"/>
          <w:sz w:val="33"/>
          <w:szCs w:val="33"/>
          <w:color w:val="auto"/>
          <w:vertAlign w:val="subscript"/>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7"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5" w:lineRule="exact"/>
        <w:rPr>
          <w:rFonts w:ascii="Times New Roman" w:cs="Times New Roman" w:eastAsia="Times New Roman" w:hAnsi="Times New Roman"/>
          <w:sz w:val="18"/>
          <w:szCs w:val="18"/>
          <w:color w:val="auto"/>
        </w:rPr>
      </w:pPr>
    </w:p>
    <w:p>
      <w:pPr>
        <w:ind w:left="700" w:hanging="320"/>
        <w:spacing w:after="0" w:line="183" w:lineRule="auto"/>
        <w:tabs>
          <w:tab w:leader="none" w:pos="700" w:val="left"/>
        </w:tabs>
        <w:numPr>
          <w:ilvl w:val="0"/>
          <w:numId w:val="28"/>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U.S. Holders owning or considered as owning (directly, indirectly, or through attribution) 5% (measured by vote or value) or more of our Common Shares;</w:t>
      </w:r>
    </w:p>
    <w:p>
      <w:pPr>
        <w:spacing w:after="0" w:line="1" w:lineRule="exact"/>
        <w:rPr>
          <w:rFonts w:ascii="Times New Roman" w:cs="Times New Roman" w:eastAsia="Times New Roman" w:hAnsi="Times New Roman"/>
          <w:sz w:val="33"/>
          <w:szCs w:val="33"/>
          <w:color w:val="auto"/>
          <w:vertAlign w:val="subscript"/>
        </w:rPr>
      </w:pPr>
    </w:p>
    <w:p>
      <w:pPr>
        <w:ind w:left="700" w:hanging="320"/>
        <w:spacing w:after="0" w:line="181" w:lineRule="auto"/>
        <w:tabs>
          <w:tab w:leader="none" w:pos="700" w:val="left"/>
        </w:tabs>
        <w:numPr>
          <w:ilvl w:val="0"/>
          <w:numId w:val="28"/>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persons that acquired our Common Shares or public warrants pursuant to an exercise of employee share options, in connection with employee share incentive plans or otherwise as compensation as compensation;</w:t>
      </w:r>
    </w:p>
    <w:p>
      <w:pPr>
        <w:spacing w:after="0" w:line="2" w:lineRule="exact"/>
        <w:rPr>
          <w:rFonts w:ascii="Times New Roman" w:cs="Times New Roman" w:eastAsia="Times New Roman" w:hAnsi="Times New Roman"/>
          <w:sz w:val="32"/>
          <w:szCs w:val="32"/>
          <w:color w:val="auto"/>
          <w:vertAlign w:val="subscript"/>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7"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5"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19"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33" w:lineRule="exact"/>
        <w:rPr>
          <w:sz w:val="20"/>
          <w:szCs w:val="20"/>
          <w:color w:val="auto"/>
        </w:rPr>
      </w:pPr>
    </w:p>
    <w:p>
      <w:pPr>
        <w:ind w:left="700" w:hanging="320"/>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5" w:lineRule="exact"/>
        <w:rPr>
          <w:rFonts w:ascii="Times New Roman" w:cs="Times New Roman" w:eastAsia="Times New Roman" w:hAnsi="Times New Roman"/>
          <w:sz w:val="18"/>
          <w:szCs w:val="18"/>
          <w:color w:val="auto"/>
        </w:rPr>
      </w:pPr>
    </w:p>
    <w:p>
      <w:pPr>
        <w:ind w:left="700" w:right="20" w:hanging="320"/>
        <w:spacing w:after="0" w:line="183" w:lineRule="auto"/>
        <w:tabs>
          <w:tab w:leader="none" w:pos="700" w:val="left"/>
        </w:tabs>
        <w:numPr>
          <w:ilvl w:val="0"/>
          <w:numId w:val="2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 corporation (including an entity treated as a corporation for U.S. federal income tax purposes) created or organized in or under the laws of the United States, any state thereof or the District of Columbia;</w:t>
      </w:r>
    </w:p>
    <w:p>
      <w:pPr>
        <w:spacing w:after="0" w:line="1" w:lineRule="exact"/>
        <w:rPr>
          <w:rFonts w:ascii="Times New Roman" w:cs="Times New Roman" w:eastAsia="Times New Roman" w:hAnsi="Times New Roman"/>
          <w:sz w:val="33"/>
          <w:szCs w:val="33"/>
          <w:color w:val="auto"/>
          <w:vertAlign w:val="subscript"/>
        </w:rPr>
      </w:pPr>
    </w:p>
    <w:p>
      <w:pPr>
        <w:ind w:left="700" w:hanging="320"/>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w:t>
      </w:r>
    </w:p>
    <w:p>
      <w:pPr>
        <w:spacing w:after="0" w:line="19" w:lineRule="exact"/>
        <w:rPr>
          <w:rFonts w:ascii="Times New Roman" w:cs="Times New Roman" w:eastAsia="Times New Roman" w:hAnsi="Times New Roman"/>
          <w:sz w:val="18"/>
          <w:szCs w:val="18"/>
          <w:color w:val="auto"/>
        </w:rPr>
      </w:pPr>
    </w:p>
    <w:p>
      <w:pPr>
        <w:ind w:left="700" w:hanging="320"/>
        <w:spacing w:after="0" w:line="255"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 of the Code) who have the authority to control all substantial decisions of the trust or (B) that has in effect a valid election under applicable Treasury Regulations to be treated as a U.S. person.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0"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 xml:space="preserve">Subject to the PFIC rules discussed below under the heading “-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7"/>
          <w:szCs w:val="17"/>
          <w:i w:val="1"/>
          <w:iCs w:val="1"/>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Consequences of Ownership and Disposition of Common Shares and Public Warrants - Sale, Taxable Exchange or Other Taxable Disposition of Common Shares and Public Warrants.</w:t>
      </w:r>
      <w:r>
        <w:rPr>
          <w:rFonts w:ascii="Times New Roman" w:cs="Times New Roman" w:eastAsia="Times New Roman" w:hAnsi="Times New Roman"/>
          <w:sz w:val="17"/>
          <w:szCs w:val="17"/>
          <w:color w:val="auto"/>
        </w:rPr>
        <w:t>” The amount of any such distribution will include any amounts withheld by us (or another applicable withholding agent)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7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 Common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 long-term capital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 on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 U.S. Holders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urged to consult their tax advisors on the tax consequences any such constructive distribution with respect to a public warrant.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33" w:lineRule="exact"/>
        <w:rPr>
          <w:sz w:val="20"/>
          <w:szCs w:val="20"/>
          <w:color w:val="auto"/>
        </w:rPr>
      </w:pPr>
    </w:p>
    <w:p>
      <w:pPr>
        <w:ind w:left="700" w:hanging="320"/>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5"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amount allocated to the U.S. Holder’s taxable year in which the U.S. Holder recognized the gain or received the excess distribution, and to any</w:t>
      </w:r>
    </w:p>
    <w:p>
      <w:pPr>
        <w:spacing w:after="0" w:line="31" w:lineRule="exact"/>
        <w:rPr>
          <w:rFonts w:ascii="Times New Roman" w:cs="Times New Roman" w:eastAsia="Times New Roman" w:hAnsi="Times New Roman"/>
          <w:sz w:val="18"/>
          <w:szCs w:val="18"/>
          <w:color w:val="auto"/>
        </w:rPr>
      </w:pPr>
    </w:p>
    <w:p>
      <w:pPr>
        <w:ind w:left="700" w:hanging="320"/>
        <w:spacing w:after="0" w:line="255"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in the U.S. Holder’s holding period before the first day of the Company’s first taxable year in which the Company is a PFIC, will be taxed as ordinary income;</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5" w:name="page46"/>
    <w:bookmarkEnd w:id="45"/>
    <w:p>
      <w:pPr>
        <w:ind w:left="700" w:hanging="320"/>
        <w:spacing w:after="0" w:line="186" w:lineRule="auto"/>
        <w:tabs>
          <w:tab w:leader="none" w:pos="700" w:val="left"/>
        </w:tabs>
        <w:numPr>
          <w:ilvl w:val="0"/>
          <w:numId w:val="3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ind w:left="700" w:hanging="320"/>
        <w:spacing w:after="0" w:line="181" w:lineRule="auto"/>
        <w:tabs>
          <w:tab w:leader="none" w:pos="700" w:val="left"/>
        </w:tabs>
        <w:numPr>
          <w:ilvl w:val="0"/>
          <w:numId w:val="31"/>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1"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7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5"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spacing w:after="0" w:line="250"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2"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33" w:lineRule="exact"/>
        <w:rPr>
          <w:sz w:val="20"/>
          <w:szCs w:val="20"/>
          <w:color w:val="auto"/>
        </w:rPr>
      </w:pPr>
    </w:p>
    <w:p>
      <w:pPr>
        <w:ind w:left="700" w:hanging="320"/>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33" w:lineRule="exact"/>
        <w:rPr>
          <w:rFonts w:ascii="Times New Roman" w:cs="Times New Roman" w:eastAsia="Times New Roman" w:hAnsi="Times New Roman"/>
          <w:sz w:val="18"/>
          <w:szCs w:val="18"/>
          <w:color w:val="auto"/>
        </w:rPr>
      </w:pPr>
    </w:p>
    <w:p>
      <w:pPr>
        <w:ind w:left="700" w:hanging="320"/>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3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7"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 the Non-Resident Holder, (b) persons with whom the Non-Resident Holder does not deal with at arm’s length, (c) partnerships in which the</w:t>
      </w:r>
    </w:p>
    <w:p>
      <w:pPr>
        <w:spacing w:after="0" w:line="25" w:lineRule="exact"/>
        <w:rPr>
          <w:sz w:val="20"/>
          <w:szCs w:val="20"/>
          <w:color w:val="auto"/>
        </w:rPr>
      </w:pPr>
    </w:p>
    <w:p>
      <w:pPr>
        <w:ind w:left="840" w:hanging="406"/>
        <w:spacing w:after="0" w:line="247"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Holder or a person described in (b) holds an interest directly or indirectly through one or more partnerships, or (d) any combination of (a) to (c), owned 25% or more of the issued shares of any class or series of our capital stock; and</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w:t>
      </w:r>
    </w:p>
    <w:p>
      <w:pPr>
        <w:spacing w:after="0" w:line="6" w:lineRule="exact"/>
        <w:rPr>
          <w:rFonts w:ascii="Times New Roman" w:cs="Times New Roman" w:eastAsia="Times New Roman" w:hAnsi="Times New Roman"/>
          <w:sz w:val="18"/>
          <w:szCs w:val="18"/>
          <w:color w:val="auto"/>
        </w:rPr>
      </w:pPr>
    </w:p>
    <w:p>
      <w:pPr>
        <w:jc w:val="both"/>
        <w:ind w:left="840" w:hanging="406"/>
        <w:spacing w:after="0" w:line="185" w:lineRule="auto"/>
        <w:tabs>
          <w:tab w:leader="none" w:pos="840" w:val="left"/>
        </w:tabs>
        <w:numPr>
          <w:ilvl w:val="0"/>
          <w:numId w:val="3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7" w:lineRule="exact"/>
        <w:rPr>
          <w:sz w:val="20"/>
          <w:szCs w:val="20"/>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our Annual Report on Form 10-K for the fiscal year ended December 31, 2021 that we filed with the SEC on March 25, 2022;</w:t>
        </w:r>
      </w:hyperlink>
    </w:p>
    <w:p>
      <w:pPr>
        <w:spacing w:after="0" w:line="25" w:lineRule="exact"/>
        <w:rPr>
          <w:rFonts w:ascii="Times New Roman" w:cs="Times New Roman" w:eastAsia="Times New Roman" w:hAnsi="Times New Roman"/>
          <w:sz w:val="18"/>
          <w:szCs w:val="18"/>
          <w:u w:val="single" w:color="auto"/>
          <w:color w:val="0000EE"/>
        </w:rPr>
      </w:pPr>
    </w:p>
    <w:p>
      <w:pPr>
        <w:ind w:left="640" w:hanging="313"/>
        <w:spacing w:after="0" w:line="247" w:lineRule="auto"/>
        <w:tabs>
          <w:tab w:leader="none" w:pos="640" w:val="left"/>
        </w:tabs>
        <w:numPr>
          <w:ilvl w:val="0"/>
          <w:numId w:val="3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and June 30, 2022 that we filed with the SEC on </w:t>
      </w:r>
      <w:hyperlink r:id="rId65">
        <w:r>
          <w:rPr>
            <w:rFonts w:ascii="Times New Roman" w:cs="Times New Roman" w:eastAsia="Times New Roman" w:hAnsi="Times New Roman"/>
            <w:sz w:val="18"/>
            <w:szCs w:val="18"/>
            <w:u w:val="single" w:color="auto"/>
            <w:color w:val="0000EE"/>
          </w:rPr>
          <w:t>May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6">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p>
    <w:p>
      <w:pPr>
        <w:ind w:left="640" w:hanging="313"/>
        <w:spacing w:after="0" w:line="255" w:lineRule="auto"/>
        <w:tabs>
          <w:tab w:leader="none" w:pos="640" w:val="left"/>
        </w:tabs>
        <w:numPr>
          <w:ilvl w:val="0"/>
          <w:numId w:val="3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67">
        <w:r>
          <w:rPr>
            <w:rFonts w:ascii="Times New Roman" w:cs="Times New Roman" w:eastAsia="Times New Roman" w:hAnsi="Times New Roman"/>
            <w:sz w:val="18"/>
            <w:szCs w:val="18"/>
            <w:u w:val="single" w:color="auto"/>
            <w:color w:val="0000EE"/>
          </w:rPr>
          <w:t>February 10, 2022</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March 17, 2022</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 xml:space="preserve">, and </w:t>
      </w:r>
      <w:hyperlink r:id="rId70">
        <w:r>
          <w:rPr>
            <w:rFonts w:ascii="Times New Roman" w:cs="Times New Roman" w:eastAsia="Times New Roman" w:hAnsi="Times New Roman"/>
            <w:sz w:val="18"/>
            <w:szCs w:val="18"/>
            <w:u w:val="single" w:color="auto"/>
            <w:color w:val="0000EE"/>
          </w:rPr>
          <w:t>August 15,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any portion of such filings that are furnished under applicable SEC rules rather than filed);</w:t>
      </w:r>
    </w:p>
    <w:p>
      <w:pPr>
        <w:spacing w:after="0" w:line="182"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ind w:left="640" w:hanging="313"/>
        <w:spacing w:after="0" w:line="258" w:lineRule="auto"/>
        <w:tabs>
          <w:tab w:leader="none" w:pos="640" w:val="left"/>
        </w:tabs>
        <w:numPr>
          <w:ilvl w:val="0"/>
          <w:numId w:val="35"/>
        </w:numPr>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the description of our Common Shares contained in our Registration Statement on Form 8-A filed with the SEC on September 10, 2021, including</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any amendment or report filed for the purpose of updating such description; and</w:t>
        </w:r>
      </w:hyperlink>
    </w:p>
    <w:p>
      <w:pPr>
        <w:jc w:val="both"/>
        <w:ind w:left="640" w:hanging="313"/>
        <w:spacing w:after="0" w:line="250"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0" w:lineRule="exact"/>
        <w:rPr>
          <w:rFonts w:ascii="Times New Roman" w:cs="Times New Roman" w:eastAsia="Times New Roman" w:hAnsi="Times New Roman"/>
          <w:sz w:val="18"/>
          <w:szCs w:val="18"/>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1" w:lineRule="exact"/>
        <w:rPr>
          <w:rFonts w:ascii="Times New Roman" w:cs="Times New Roman" w:eastAsia="Times New Roman" w:hAnsi="Times New Roman"/>
          <w:sz w:val="18"/>
          <w:szCs w:val="18"/>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V6C 2T5</w:t>
      </w:r>
    </w:p>
    <w:p>
      <w:pPr>
        <w:spacing w:after="0" w:line="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(574) 252-9333</w:t>
      </w:r>
    </w:p>
    <w:p>
      <w:pPr>
        <w:spacing w:after="0" w:line="199" w:lineRule="exact"/>
        <w:rPr>
          <w:rFonts w:ascii="Times New Roman" w:cs="Times New Roman" w:eastAsia="Times New Roman" w:hAnsi="Times New Roman"/>
          <w:sz w:val="18"/>
          <w:szCs w:val="18"/>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1" w:lineRule="exact"/>
        <w:rPr>
          <w:rFonts w:ascii="Times New Roman" w:cs="Times New Roman" w:eastAsia="Times New Roman" w:hAnsi="Times New Roman"/>
          <w:sz w:val="18"/>
          <w:szCs w:val="18"/>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4"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2834005</wp:posOffset>
            </wp:positionH>
            <wp:positionV relativeFrom="page">
              <wp:posOffset>580390</wp:posOffset>
            </wp:positionV>
            <wp:extent cx="1889125" cy="6356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889125" cy="6356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TMC THE METALS COMPANY INC.</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$100 MILLION OF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5"/>
          <w:szCs w:val="25"/>
          <w:b w:val="1"/>
          <w:bCs w:val="1"/>
          <w:color w:val="auto"/>
        </w:rPr>
        <w:t>38,266,180 COMMON SHARES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OFFERED BY SELLING SHAREHOLDERS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441960</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sets forth an itemization of the various expenses, all of which we will pay, in connection with the issuance and distribution of the securities being registered. All of the amounts shown are estimated except the SEC Registration Fee and the FINRA Filing Fee.</w:t>
      </w:r>
    </w:p>
    <w:p>
      <w:pPr>
        <w:spacing w:after="0" w:line="181" w:lineRule="exact"/>
        <w:rPr>
          <w:sz w:val="20"/>
          <w:szCs w:val="20"/>
          <w:color w:val="auto"/>
        </w:rPr>
      </w:pPr>
    </w:p>
    <w:tbl>
      <w:tblPr>
        <w:tblLayout w:type="fixed"/>
        <w:tblInd w:w="2260" w:type="dxa"/>
        <w:tblCellMar>
          <w:top w:w="0" w:type="dxa"/>
          <w:left w:w="0" w:type="dxa"/>
          <w:bottom w:w="0" w:type="dxa"/>
          <w:right w:w="0" w:type="dxa"/>
        </w:tblCellMar>
      </w:tblPr>
      <w:tr>
        <w:trPr>
          <w:trHeight w:val="21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12,817.28</w:t>
            </w: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1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6" w:lineRule="exact"/>
        <w:rPr>
          <w:sz w:val="20"/>
          <w:szCs w:val="20"/>
          <w:color w:val="auto"/>
        </w:rPr>
      </w:pPr>
    </w:p>
    <w:p>
      <w:pPr>
        <w:jc w:val="both"/>
        <w:ind w:left="460" w:right="20" w:hanging="449"/>
        <w:spacing w:after="0" w:line="257"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not presently known. The foregoing sets forth the general categories of fees and expenses (other than underwriting discounts and commissions) that we anticipate we will incur in connection with the offering of securities under this registration statement. An estimate of the aggregate fees and expenses in connection with the issuance and distribution of the securities being offered will be included in the applicable prospectus supplement.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BCBCA, a company may indemnify a director or officer, a former director or officer, or a person who acts or acted at the company’s request as a director or officer, or an individual acting in a similar capacity, of another entity, which we refer to as an eligible party, against all costs, charges and expenses, including an amount paid to settle an action or satisfy a judgment, reasonably incurred by him or her in respect of any civil, criminal, administrative, investigative or other proceeding in which he or she is involved because of that association with the company or other entity, if: (1) the individual acted honestly and in good faith with a view to the best interests of such company or the other entity, as the case may be; and (2) in the case of a proceeding other than a civil proceeding, the individual had reasonable grounds for believing that the individual’s conduct was lawful. A company cannot indemnify an eligible party if it is prohibited from doing so under its articles, even if it had agreed to do so by an indemnification agreement (provided that the articles prohibited indemnification when the indemnification agreement was made). A company may advance the expenses of an eligible party as they are incurred in an eligible proceeding only if the eligible party has provided an undertaking that, if it is ultimately determined that the payment of expenses was prohibited, the eligible party will repay any amounts advanced. On application from an eligible party, a court may make any order the court considers appropriate in respect of an eligible proceeding, including the indemnification of penalties imposed or expenses incurred in any such proceedings and the enforcement of an indemnification agreement.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BCBCA, our Articles require us to indemnify an eligible party and his or her heirs and legal personal representatives against all eligible penalties to which such person is or may be liable, and we must after final disposition of an eligible proceeding, pay the expenses actually and reasonably incurred by such person in respect of that proceeding. Each eligible party is deemed to have contracted with us on the terms of the indemnity contained in our Articles. In addition, our Articles specify that failure of an eligible party to comply with the provisions of the BCBCA or our Articles will not invalidate any indemnity to which he or she is entitled. Our Articles also allow for us to purchase and maintain insurance for the benefit of specified eligible parties.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entered into indemnity agreements with our directors and certain officers. Each indemnity agreement provides for indemnification and advancements by us of certain expenses and costs relating to claims, suits or proceedings arising from his or her service to us, or, at our request, service to other entities, as officers or directors to the maximum extent permitted by applicable law and subject to the terms and conditions of such indemnity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We have also purchased insurance policies relating to certain liabilities that our directors and officers may incur in such capacity.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herewith or incorporated herein by reference: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Reference herein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10"/>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vMerge w:val="restart"/>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from Form or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 File/ Reg.</w:t>
            </w:r>
          </w:p>
        </w:tc>
        <w:tc>
          <w:tcPr>
            <w:tcW w:w="0" w:type="dxa"/>
            <w:vAlign w:val="bottom"/>
          </w:tcPr>
          <w:p>
            <w:pPr>
              <w:spacing w:after="0"/>
              <w:rPr>
                <w:sz w:val="1"/>
                <w:szCs w:val="1"/>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10"/>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100" w:type="dxa"/>
            <w:vAlign w:val="bottom"/>
          </w:tcPr>
          <w:p>
            <w:pPr>
              <w:spacing w:after="0"/>
              <w:rPr>
                <w:sz w:val="20"/>
                <w:szCs w:val="20"/>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Filing Date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421"/>
        </w:trPr>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1.2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Securities Purchase Agreement, dated August 12, 2022, by and among</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8/15/2022</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the Company and the Purchasers named therein.</w:t>
              </w:r>
            </w:hyperlink>
          </w:p>
        </w:tc>
        <w:tc>
          <w:tcPr>
            <w:tcW w:w="12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(Exhibit 10.1)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1.3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Securities Purchase Agreement, dated August 12, 2022, by and among the</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8/15/2022</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gridSpan w:val="13"/>
          </w:tcPr>
          <w:p>
            <w:pPr>
              <w:spacing w:after="0" w:line="194"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Company and Gerard Barron.</w:t>
              </w:r>
            </w:hyperlink>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(Exhibit 10.2)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1.4</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Securities Purchase Agreement, dated August 12, 2022, by and among the</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8/15/2022</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gridSpan w:val="13"/>
          </w:tcPr>
          <w:p>
            <w:pPr>
              <w:spacing w:after="0" w:line="194"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Company and ERAS Capital LLC.</w:t>
              </w:r>
            </w:hyperlink>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8"/>
              </w:rPr>
              <w:t>(Exhibit 10.3)</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4.1</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Notice of Articles of TMC the metals company Inc.</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(Exhibit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4.2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Articles of TMC the metals company Inc.</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(Exhibit 3.2)</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4.3</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TMC the metals company Inc. Common Share Certificate</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(Exhibit 4.1)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4.4</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Warrant Agreement between Continental Stock Transfer &amp; Trust Company and</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5/8/2020</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tcBorders>
              <w:top w:val="single" w:sz="8" w:color="0000EE"/>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Sustainable Opportunities Acquisition Corp., dated May 8, 2020</w:t>
              </w:r>
            </w:hyperlink>
          </w:p>
        </w:tc>
        <w:tc>
          <w:tcPr>
            <w:tcW w:w="1220" w:type="dxa"/>
            <w:vAlign w:val="bottom"/>
            <w:tcBorders>
              <w:top w:val="single" w:sz="8" w:color="0000EE"/>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7"/>
              </w:rPr>
              <w:t>(Exhibit 4.1)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4.5</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Warrant to Purchase Common Shares issued by DeepGreen Metals Inc. to</w:t>
              </w:r>
            </w:hyperlink>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S-4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4/8/2021</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Allseas Group S.A. on March 4, 2021</w:t>
              </w:r>
            </w:hyperlink>
          </w:p>
        </w:tc>
        <w:tc>
          <w:tcPr>
            <w:tcW w:w="12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7"/>
              </w:rPr>
              <w:t>(Exhibit 4.5)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Instrument with respect to Preferred Shares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Form of Senior Indenture</w:t>
            </w:r>
          </w:p>
        </w:tc>
        <w:tc>
          <w:tcPr>
            <w:tcW w:w="320" w:type="dxa"/>
            <w:vAlign w:val="bottom"/>
          </w:tcPr>
          <w:p>
            <w:pPr>
              <w:spacing w:after="0"/>
              <w:rPr>
                <w:sz w:val="24"/>
                <w:szCs w:val="24"/>
                <w:color w:val="auto"/>
              </w:rPr>
            </w:pPr>
          </w:p>
        </w:tc>
        <w:tc>
          <w:tcPr>
            <w:tcW w:w="5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0000EE"/>
              </w:rPr>
              <w:t>X</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Form of Subordinated Indenture</w:t>
            </w:r>
          </w:p>
        </w:tc>
        <w:tc>
          <w:tcPr>
            <w:tcW w:w="320" w:type="dxa"/>
            <w:vAlign w:val="bottom"/>
          </w:tcPr>
          <w:p>
            <w:pPr>
              <w:spacing w:after="0"/>
              <w:rPr>
                <w:sz w:val="24"/>
                <w:szCs w:val="24"/>
                <w:color w:val="auto"/>
              </w:rPr>
            </w:pPr>
          </w:p>
        </w:tc>
        <w:tc>
          <w:tcPr>
            <w:tcW w:w="5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0000EE"/>
              </w:rPr>
              <w:t>X</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Senior Debt Security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Subordinated Debt Security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Agreement and Warrant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Unit Agreement and Unit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tbl>
      <w:tblPr>
        <w:tblLayout w:type="fixed"/>
        <w:tblInd w:w="9"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Opinion of Fasken Martineau DuMoulin LLP</w:t>
            </w:r>
          </w:p>
        </w:tc>
        <w:tc>
          <w:tcPr>
            <w:tcW w:w="3500" w:type="dxa"/>
            <w:vAlign w:val="bottom"/>
            <w:gridSpan w:val="14"/>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Opinion of Mintz, Levin, Cohn, Ferris, Glovsky and Popeo, P.C.</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540" w:type="dxa"/>
            <w:vAlign w:val="bottom"/>
          </w:tcPr>
          <w:p>
            <w:pPr>
              <w:spacing w:after="0"/>
              <w:rPr>
                <w:sz w:val="24"/>
                <w:szCs w:val="24"/>
                <w:color w:val="auto"/>
              </w:rPr>
            </w:pPr>
          </w:p>
        </w:tc>
        <w:tc>
          <w:tcPr>
            <w:tcW w:w="6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540" w:type="dxa"/>
            <w:vAlign w:val="bottom"/>
          </w:tcPr>
          <w:p>
            <w:pPr>
              <w:spacing w:after="0"/>
              <w:rPr>
                <w:sz w:val="24"/>
                <w:szCs w:val="24"/>
                <w:color w:val="auto"/>
              </w:rPr>
            </w:pPr>
          </w:p>
        </w:tc>
        <w:tc>
          <w:tcPr>
            <w:tcW w:w="5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Fasken Martineau DuMoulin LLP (included in Exhibit 5.1)</w:t>
            </w:r>
          </w:p>
        </w:tc>
        <w:tc>
          <w:tcPr>
            <w:tcW w:w="1160" w:type="dxa"/>
            <w:vAlign w:val="bottom"/>
            <w:gridSpan w:val="5"/>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3</w:t>
            </w:r>
          </w:p>
        </w:tc>
        <w:tc>
          <w:tcPr>
            <w:tcW w:w="540" w:type="dxa"/>
            <w:vAlign w:val="bottom"/>
          </w:tcPr>
          <w:p>
            <w:pPr>
              <w:spacing w:after="0"/>
              <w:rPr>
                <w:sz w:val="24"/>
                <w:szCs w:val="24"/>
                <w:color w:val="auto"/>
              </w:rPr>
            </w:pPr>
          </w:p>
        </w:tc>
        <w:tc>
          <w:tcPr>
            <w:tcW w:w="6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Mintz, Levin, Cohn, Ferris, Glovsky and Popeo, P.C. (included in</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Exhibit 5.2)</w:t>
            </w:r>
          </w:p>
        </w:tc>
        <w:tc>
          <w:tcPr>
            <w:tcW w:w="4620" w:type="dxa"/>
            <w:vAlign w:val="bottom"/>
            <w:tcBorders>
              <w:top w:val="single" w:sz="8" w:color="0000EE"/>
            </w:tcBorders>
            <w:gridSpan w:val="13"/>
          </w:tcPr>
          <w:p>
            <w:pPr>
              <w:spacing w:after="0"/>
              <w:rPr>
                <w:sz w:val="16"/>
                <w:szCs w:val="16"/>
                <w:color w:val="auto"/>
              </w:rPr>
            </w:pPr>
          </w:p>
        </w:tc>
        <w:tc>
          <w:tcPr>
            <w:tcW w:w="1280" w:type="dxa"/>
            <w:vAlign w:val="bottom"/>
            <w:gridSpan w:val="6"/>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4</w:t>
            </w:r>
          </w:p>
        </w:tc>
        <w:tc>
          <w:tcPr>
            <w:tcW w:w="54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Consent of AMC Consultants Pty Ltd.</w:t>
            </w:r>
          </w:p>
        </w:tc>
        <w:tc>
          <w:tcPr>
            <w:tcW w:w="4020" w:type="dxa"/>
            <w:vAlign w:val="bottom"/>
            <w:gridSpan w:val="16"/>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5</w:t>
            </w:r>
          </w:p>
        </w:tc>
        <w:tc>
          <w:tcPr>
            <w:tcW w:w="54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Consent of AMC Consultants Pty Ltd.</w:t>
            </w:r>
          </w:p>
        </w:tc>
        <w:tc>
          <w:tcPr>
            <w:tcW w:w="4020" w:type="dxa"/>
            <w:vAlign w:val="bottom"/>
            <w:gridSpan w:val="16"/>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6</w:t>
            </w:r>
          </w:p>
        </w:tc>
        <w:tc>
          <w:tcPr>
            <w:tcW w:w="540" w:type="dxa"/>
            <w:vAlign w:val="bottom"/>
          </w:tcPr>
          <w:p>
            <w:pPr>
              <w:spacing w:after="0"/>
              <w:rPr>
                <w:sz w:val="24"/>
                <w:szCs w:val="24"/>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Consent of Canadian Engineering Associates Ltd.</w:t>
            </w:r>
          </w:p>
        </w:tc>
        <w:tc>
          <w:tcPr>
            <w:tcW w:w="3200" w:type="dxa"/>
            <w:vAlign w:val="bottom"/>
            <w:gridSpan w:val="12"/>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7</w:t>
            </w:r>
          </w:p>
        </w:tc>
        <w:tc>
          <w:tcPr>
            <w:tcW w:w="540" w:type="dxa"/>
            <w:vAlign w:val="bottom"/>
          </w:tcPr>
          <w:p>
            <w:pPr>
              <w:spacing w:after="0"/>
              <w:rPr>
                <w:sz w:val="24"/>
                <w:szCs w:val="24"/>
                <w:color w:val="auto"/>
              </w:rPr>
            </w:pPr>
          </w:p>
        </w:tc>
        <w:tc>
          <w:tcPr>
            <w:tcW w:w="35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Deep Reach Technology Inc.</w:t>
            </w:r>
          </w:p>
        </w:tc>
        <w:tc>
          <w:tcPr>
            <w:tcW w:w="3200" w:type="dxa"/>
            <w:vAlign w:val="bottom"/>
            <w:gridSpan w:val="12"/>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8</w:t>
            </w:r>
          </w:p>
        </w:tc>
        <w:tc>
          <w:tcPr>
            <w:tcW w:w="540" w:type="dxa"/>
            <w:vAlign w:val="bottom"/>
          </w:tcPr>
          <w:p>
            <w:pPr>
              <w:spacing w:after="0"/>
              <w:rPr>
                <w:sz w:val="24"/>
                <w:szCs w:val="24"/>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Consent of Margin – Marine Geoscience Innovation</w:t>
            </w:r>
          </w:p>
        </w:tc>
        <w:tc>
          <w:tcPr>
            <w:tcW w:w="3040" w:type="dxa"/>
            <w:vAlign w:val="bottom"/>
            <w:gridSpan w:val="10"/>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9</w:t>
            </w:r>
          </w:p>
        </w:tc>
        <w:tc>
          <w:tcPr>
            <w:tcW w:w="540" w:type="dxa"/>
            <w:vAlign w:val="bottom"/>
          </w:tcPr>
          <w:p>
            <w:pPr>
              <w:spacing w:after="0"/>
              <w:rPr>
                <w:sz w:val="24"/>
                <w:szCs w:val="24"/>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John Michael Parianos</w:t>
            </w:r>
          </w:p>
        </w:tc>
        <w:tc>
          <w:tcPr>
            <w:tcW w:w="3040" w:type="dxa"/>
            <w:vAlign w:val="bottom"/>
            <w:gridSpan w:val="10"/>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54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 page)</w:t>
            </w:r>
          </w:p>
        </w:tc>
        <w:tc>
          <w:tcPr>
            <w:tcW w:w="3140" w:type="dxa"/>
            <w:vAlign w:val="bottom"/>
            <w:gridSpan w:val="11"/>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9"/>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25.1**</w:t>
            </w:r>
          </w:p>
        </w:tc>
        <w:tc>
          <w:tcPr>
            <w:tcW w:w="6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Statement of Eligibility on Form T-1 under the Trust Indenture Act of 1939, as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2"/>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amended, of the Trustee under the Senior Indenture</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8"/>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25.2**</w:t>
            </w:r>
          </w:p>
        </w:tc>
        <w:tc>
          <w:tcPr>
            <w:tcW w:w="6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Statement of Eligibility on Form T-1 under the Trust Indenture Act of 1939, as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2"/>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amended, of the Trustee under the Subordinated Indenture</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86"/>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96.1</w:t>
            </w:r>
          </w:p>
        </w:tc>
        <w:tc>
          <w:tcPr>
            <w:tcW w:w="540" w:type="dxa"/>
            <w:vAlign w:val="bottom"/>
          </w:tcPr>
          <w:p>
            <w:pPr>
              <w:spacing w:after="0"/>
              <w:rPr>
                <w:sz w:val="24"/>
                <w:szCs w:val="24"/>
                <w:color w:val="auto"/>
              </w:rPr>
            </w:pPr>
          </w:p>
        </w:tc>
        <w:tc>
          <w:tcPr>
            <w:tcW w:w="5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Technical Report Summary — Initial Assessment of the NORI Property, Clarion-</w:t>
              </w:r>
            </w:hyperlink>
          </w:p>
        </w:tc>
        <w:tc>
          <w:tcPr>
            <w:tcW w:w="9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Form S-4/A</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193"/>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Clipperton Zone, for Deep Green Metals Inc., effective as of March 17, 2021, by AMC</w:t>
              </w:r>
            </w:hyperlink>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left="271"/>
              <w:spacing w:after="0" w:line="194" w:lineRule="exact"/>
              <w:rPr>
                <w:sz w:val="20"/>
                <w:szCs w:val="20"/>
                <w:color w:val="auto"/>
              </w:rPr>
            </w:pPr>
            <w:r>
              <w:rPr>
                <w:rFonts w:ascii="Times New Roman" w:cs="Times New Roman" w:eastAsia="Times New Roman" w:hAnsi="Times New Roman"/>
                <w:sz w:val="18"/>
                <w:szCs w:val="18"/>
                <w:color w:val="auto"/>
                <w:w w:val="98"/>
              </w:rPr>
              <w:t>(Exhibit 96.1)</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Consultants Pty Ltd. and other qualified persons</w:t>
              </w:r>
            </w:hyperlink>
          </w:p>
        </w:tc>
        <w:tc>
          <w:tcPr>
            <w:tcW w:w="3320" w:type="dxa"/>
            <w:vAlign w:val="bottom"/>
            <w:gridSpan w:val="13"/>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07"/>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96.2</w:t>
            </w:r>
          </w:p>
        </w:tc>
        <w:tc>
          <w:tcPr>
            <w:tcW w:w="540" w:type="dxa"/>
            <w:vAlign w:val="bottom"/>
          </w:tcPr>
          <w:p>
            <w:pPr>
              <w:spacing w:after="0"/>
              <w:rPr>
                <w:sz w:val="24"/>
                <w:szCs w:val="24"/>
                <w:color w:val="auto"/>
              </w:rPr>
            </w:pPr>
          </w:p>
        </w:tc>
        <w:tc>
          <w:tcPr>
            <w:tcW w:w="5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Technical Report Summary — Initial Assessment of the TOML Mineral Resource,</w:t>
              </w:r>
            </w:hyperlink>
          </w:p>
        </w:tc>
        <w:tc>
          <w:tcPr>
            <w:tcW w:w="8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Form S-4/A</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333-255118</w:t>
            </w:r>
          </w:p>
        </w:tc>
      </w:tr>
      <w:tr>
        <w:trPr>
          <w:trHeight w:val="193"/>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760" w:type="dxa"/>
            <w:vAlign w:val="bottom"/>
            <w:gridSpan w:val="20"/>
          </w:tcPr>
          <w:p>
            <w:pPr>
              <w:spacing w:after="0" w:line="194"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Clarion-Clipperton Zone, Pacific Ocean, for Deep Green Metals Inc., effective as of</w:t>
              </w:r>
            </w:hyperlink>
          </w:p>
        </w:tc>
        <w:tc>
          <w:tcPr>
            <w:tcW w:w="120" w:type="dxa"/>
            <w:vAlign w:val="bottom"/>
          </w:tcPr>
          <w:p>
            <w:pPr>
              <w:spacing w:after="0"/>
              <w:rPr>
                <w:sz w:val="16"/>
                <w:szCs w:val="16"/>
                <w:color w:val="auto"/>
              </w:rPr>
            </w:pPr>
          </w:p>
        </w:tc>
        <w:tc>
          <w:tcPr>
            <w:tcW w:w="1480" w:type="dxa"/>
            <w:vAlign w:val="bottom"/>
          </w:tcPr>
          <w:p>
            <w:pPr>
              <w:jc w:val="center"/>
              <w:ind w:left="271"/>
              <w:spacing w:after="0" w:line="194" w:lineRule="exact"/>
              <w:rPr>
                <w:sz w:val="20"/>
                <w:szCs w:val="20"/>
                <w:color w:val="auto"/>
              </w:rPr>
            </w:pPr>
            <w:r>
              <w:rPr>
                <w:rFonts w:ascii="Times New Roman" w:cs="Times New Roman" w:eastAsia="Times New Roman" w:hAnsi="Times New Roman"/>
                <w:sz w:val="18"/>
                <w:szCs w:val="18"/>
                <w:color w:val="auto"/>
                <w:w w:val="98"/>
              </w:rPr>
              <w:t>(Exhibit 96.2)</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980" w:type="dxa"/>
            <w:vAlign w:val="bottom"/>
            <w:tcBorders>
              <w:top w:val="single" w:sz="8" w:color="0000EE"/>
            </w:tcBorders>
            <w:gridSpan w:val="18"/>
          </w:tcPr>
          <w:p>
            <w:pPr>
              <w:spacing w:after="0" w:line="194"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March 26, 2021, by AMC Consultants Pty Ltd. and other qualified persons</w:t>
              </w:r>
            </w:hyperlink>
          </w:p>
        </w:tc>
        <w:tc>
          <w:tcPr>
            <w:tcW w:w="7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0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EE"/>
                <w:w w:val="70"/>
              </w:rPr>
              <w:t>107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1440" w:type="dxa"/>
            <w:vAlign w:val="bottom"/>
            <w:gridSpan w:val="7"/>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2" w:lineRule="exact"/>
        <w:rPr>
          <w:sz w:val="20"/>
          <w:szCs w:val="20"/>
          <w:color w:val="auto"/>
        </w:rPr>
      </w:pPr>
    </w:p>
    <w:p>
      <w:pPr>
        <w:ind w:left="9" w:right="1540" w:hanging="9"/>
        <w:spacing w:after="0" w:line="277" w:lineRule="auto"/>
        <w:tabs>
          <w:tab w:leader="none" w:pos="2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subsequently filed, if applicable, by an amendment to this registration statement or as part of a Current Report on Form 8-K. ** To be subsequently filed, if applicable, in accordance with Section 305(b)(2) of the Trust Indenture Act of 1939.</w:t>
      </w:r>
    </w:p>
    <w:p>
      <w:pPr>
        <w:spacing w:after="0" w:line="376" w:lineRule="exact"/>
        <w:rPr>
          <w:sz w:val="20"/>
          <w:szCs w:val="20"/>
          <w:color w:val="auto"/>
        </w:rPr>
      </w:pPr>
    </w:p>
    <w:p>
      <w:pPr>
        <w:jc w:val="center"/>
        <w:ind w:right="-168"/>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049"/>
          </w:cols>
          <w:pgMar w:left="331" w:top="907"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0" w:lineRule="exact"/>
        <w:rPr>
          <w:sz w:val="20"/>
          <w:szCs w:val="20"/>
          <w:color w:val="auto"/>
        </w:rPr>
      </w:pPr>
    </w:p>
    <w:p>
      <w:pPr>
        <w:ind w:left="260" w:hanging="253"/>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0" w:lineRule="exact"/>
        <w:rPr>
          <w:sz w:val="20"/>
          <w:szCs w:val="20"/>
          <w:color w:val="auto"/>
        </w:rPr>
      </w:pPr>
    </w:p>
    <w:p>
      <w:pPr>
        <w:jc w:val="both"/>
        <w:ind w:firstLine="7"/>
        <w:spacing w:after="0" w:line="253" w:lineRule="auto"/>
        <w:tabs>
          <w:tab w:leader="none" w:pos="2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5" w:lineRule="exact"/>
        <w:rPr>
          <w:rFonts w:ascii="Times New Roman" w:cs="Times New Roman" w:eastAsia="Times New Roman" w:hAnsi="Times New Roman"/>
          <w:sz w:val="18"/>
          <w:szCs w:val="18"/>
          <w:color w:val="auto"/>
        </w:rPr>
      </w:pPr>
    </w:p>
    <w:p>
      <w:pPr>
        <w:jc w:val="both"/>
        <w:ind w:firstLine="7"/>
        <w:spacing w:after="0" w:line="254" w:lineRule="auto"/>
        <w:tabs>
          <w:tab w:leader="none" w:pos="3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6" w:lineRule="exact"/>
        <w:rPr>
          <w:sz w:val="20"/>
          <w:szCs w:val="20"/>
          <w:color w:val="auto"/>
        </w:rPr>
      </w:pPr>
    </w:p>
    <w:p>
      <w:pPr>
        <w:jc w:val="both"/>
        <w:ind w:firstLine="7"/>
        <w:spacing w:after="0" w:line="262"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2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0" w:lineRule="exact"/>
        <w:rPr>
          <w:sz w:val="20"/>
          <w:szCs w:val="20"/>
          <w:color w:val="auto"/>
        </w:rPr>
      </w:pPr>
    </w:p>
    <w:p>
      <w:pPr>
        <w:ind w:right="20" w:firstLine="7"/>
        <w:spacing w:after="0" w:line="277" w:lineRule="auto"/>
        <w:tabs>
          <w:tab w:leader="none" w:pos="2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rFonts w:ascii="Times New Roman" w:cs="Times New Roman" w:eastAsia="Times New Roman" w:hAnsi="Times New Roman"/>
          <w:sz w:val="18"/>
          <w:szCs w:val="18"/>
          <w:color w:val="auto"/>
        </w:rPr>
      </w:pPr>
    </w:p>
    <w:p>
      <w:pPr>
        <w:jc w:val="both"/>
        <w:ind w:firstLine="7"/>
        <w:spacing w:after="0" w:line="250" w:lineRule="auto"/>
        <w:tabs>
          <w:tab w:leader="none" w:pos="2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jc w:val="both"/>
        <w:ind w:firstLine="7"/>
        <w:spacing w:after="0" w:line="257" w:lineRule="auto"/>
        <w:tabs>
          <w:tab w:leader="none" w:pos="2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1" w:lineRule="exact"/>
        <w:rPr>
          <w:sz w:val="20"/>
          <w:szCs w:val="20"/>
          <w:color w:val="auto"/>
        </w:rPr>
      </w:pPr>
    </w:p>
    <w:p>
      <w:pPr>
        <w:ind w:left="200" w:hanging="193"/>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3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2" w:lineRule="exact"/>
        <w:rPr>
          <w:rFonts w:ascii="Times New Roman" w:cs="Times New Roman" w:eastAsia="Times New Roman" w:hAnsi="Times New Roman"/>
          <w:sz w:val="18"/>
          <w:szCs w:val="18"/>
          <w:color w:val="auto"/>
        </w:rPr>
      </w:pPr>
    </w:p>
    <w:p>
      <w:pPr>
        <w:ind w:left="300" w:hanging="293"/>
        <w:spacing w:after="0"/>
        <w:tabs>
          <w:tab w:leader="none" w:pos="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That, for purposes of determining any liability under the Securities Act:</w:t>
      </w:r>
    </w:p>
    <w:p>
      <w:pPr>
        <w:spacing w:after="0" w:line="220" w:lineRule="exact"/>
        <w:rPr>
          <w:sz w:val="20"/>
          <w:szCs w:val="20"/>
          <w:color w:val="auto"/>
        </w:rPr>
      </w:pPr>
    </w:p>
    <w:p>
      <w:pPr>
        <w:jc w:val="both"/>
        <w:ind w:firstLine="7"/>
        <w:spacing w:after="0" w:line="262" w:lineRule="auto"/>
        <w:tabs>
          <w:tab w:leader="none" w:pos="2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2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63" w:lineRule="exact"/>
        <w:rPr>
          <w:sz w:val="20"/>
          <w:szCs w:val="20"/>
          <w:color w:val="auto"/>
        </w:rPr>
      </w:pPr>
    </w:p>
    <w:p>
      <w:pPr>
        <w:jc w:val="both"/>
        <w:ind w:firstLine="7"/>
        <w:spacing w:after="0" w:line="254" w:lineRule="auto"/>
        <w:tabs>
          <w:tab w:leader="none" w:pos="2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Times New Roman" w:cs="Times New Roman" w:eastAsia="Times New Roman" w:hAnsi="Times New Roman"/>
          <w:sz w:val="18"/>
          <w:szCs w:val="18"/>
          <w:color w:val="auto"/>
        </w:rPr>
      </w:pPr>
    </w:p>
    <w:p>
      <w:pPr>
        <w:jc w:val="both"/>
        <w:ind w:firstLine="7"/>
        <w:spacing w:after="0" w:line="252" w:lineRule="auto"/>
        <w:tabs>
          <w:tab w:leader="none" w:pos="2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September 16, 2022.</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Craig Shesky</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0"/>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Gerard Barron</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Executive Officer and Chairman</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20" w:type="dxa"/>
            <w:vAlign w:val="bottom"/>
          </w:tcPr>
          <w:p>
            <w:pPr>
              <w:spacing w:after="0"/>
              <w:rPr>
                <w:sz w:val="19"/>
                <w:szCs w:val="19"/>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c>
          <w:tcPr>
            <w:tcW w:w="120" w:type="dxa"/>
            <w:vAlign w:val="bottom"/>
          </w:tcPr>
          <w:p>
            <w:pPr>
              <w:spacing w:after="0"/>
              <w:rPr>
                <w:sz w:val="24"/>
                <w:szCs w:val="24"/>
                <w:color w:val="auto"/>
              </w:rPr>
            </w:pPr>
          </w:p>
        </w:tc>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120" w:type="dxa"/>
            <w:vAlign w:val="bottom"/>
          </w:tcPr>
          <w:p>
            <w:pPr>
              <w:spacing w:after="0"/>
              <w:rPr>
                <w:sz w:val="19"/>
                <w:szCs w:val="19"/>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Financial and Accounting Officer</w:t>
            </w:r>
            <w:r>
              <w:rPr>
                <w:rFonts w:ascii="Times New Roman" w:cs="Times New Roman" w:eastAsia="Times New Roman" w:hAnsi="Times New Roman"/>
                <w:sz w:val="18"/>
                <w:szCs w:val="18"/>
                <w:color w:val="auto"/>
                <w:w w:val="98"/>
              </w:rPr>
              <w:t>)</w:t>
            </w: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Gina Stryker</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Gina Stryker</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 Madsbjerg</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Hall</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McAllister</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Kathleen McAllister</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Sheila Khama</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Andrei Karkar</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0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Amelia Kinahoi Siamomua</w:t>
            </w:r>
          </w:p>
        </w:tc>
        <w:tc>
          <w:tcPr>
            <w:tcW w:w="12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 2022</w:t>
            </w: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621"/>
        </w:trPr>
        <w:tc>
          <w:tcPr>
            <w:tcW w:w="3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II-7</w:t>
            </w: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8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5"/>
              </w:rPr>
              <w:t>Exhibit 4.7</w:t>
            </w:r>
          </w:p>
        </w:tc>
      </w:tr>
      <w:tr>
        <w:trPr>
          <w:trHeight w:val="408"/>
        </w:trPr>
        <w:tc>
          <w:tcPr>
            <w:tcW w:w="2880" w:type="dxa"/>
            <w:vAlign w:val="bottom"/>
          </w:tcPr>
          <w:p>
            <w:pPr>
              <w:spacing w:after="0"/>
              <w:rPr>
                <w:sz w:val="24"/>
                <w:szCs w:val="24"/>
                <w:color w:val="auto"/>
              </w:rPr>
            </w:pPr>
          </w:p>
        </w:tc>
        <w:tc>
          <w:tcPr>
            <w:tcW w:w="8360" w:type="dxa"/>
            <w:vAlign w:val="bottom"/>
            <w:gridSpan w:val="4"/>
          </w:tcPr>
          <w:p>
            <w:pPr>
              <w:jc w:val="center"/>
              <w:ind w:right="2920"/>
              <w:spacing w:after="0"/>
              <w:rPr>
                <w:sz w:val="20"/>
                <w:szCs w:val="20"/>
                <w:color w:val="auto"/>
              </w:rPr>
            </w:pPr>
            <w:r>
              <w:rPr>
                <w:rFonts w:ascii="Times New Roman" w:cs="Times New Roman" w:eastAsia="Times New Roman" w:hAnsi="Times New Roman"/>
                <w:sz w:val="18"/>
                <w:szCs w:val="18"/>
                <w:color w:val="auto"/>
                <w:w w:val="98"/>
              </w:rPr>
              <w:t>TMC THE METALS COMPANY INC.</w:t>
            </w:r>
          </w:p>
        </w:tc>
      </w:tr>
      <w:tr>
        <w:trPr>
          <w:trHeight w:val="213"/>
        </w:trPr>
        <w:tc>
          <w:tcPr>
            <w:tcW w:w="2880" w:type="dxa"/>
            <w:vAlign w:val="bottom"/>
          </w:tcPr>
          <w:p>
            <w:pPr>
              <w:spacing w:after="0"/>
              <w:rPr>
                <w:sz w:val="18"/>
                <w:szCs w:val="18"/>
                <w:color w:val="auto"/>
              </w:rPr>
            </w:pPr>
          </w:p>
        </w:tc>
        <w:tc>
          <w:tcPr>
            <w:tcW w:w="8360" w:type="dxa"/>
            <w:vAlign w:val="bottom"/>
            <w:gridSpan w:val="4"/>
          </w:tcPr>
          <w:p>
            <w:pPr>
              <w:jc w:val="center"/>
              <w:ind w:right="2860"/>
              <w:spacing w:after="0"/>
              <w:rPr>
                <w:sz w:val="20"/>
                <w:szCs w:val="20"/>
                <w:color w:val="auto"/>
              </w:rPr>
            </w:pPr>
            <w:r>
              <w:rPr>
                <w:rFonts w:ascii="Times New Roman" w:cs="Times New Roman" w:eastAsia="Times New Roman" w:hAnsi="Times New Roman"/>
                <w:sz w:val="18"/>
                <w:szCs w:val="18"/>
                <w:color w:val="auto"/>
                <w:w w:val="97"/>
              </w:rPr>
              <w:t>Issuer</w:t>
            </w:r>
          </w:p>
        </w:tc>
      </w:tr>
      <w:tr>
        <w:trPr>
          <w:trHeight w:val="213"/>
        </w:trPr>
        <w:tc>
          <w:tcPr>
            <w:tcW w:w="2880" w:type="dxa"/>
            <w:vAlign w:val="bottom"/>
          </w:tcPr>
          <w:p>
            <w:pPr>
              <w:spacing w:after="0"/>
              <w:rPr>
                <w:sz w:val="18"/>
                <w:szCs w:val="18"/>
                <w:color w:val="auto"/>
              </w:rPr>
            </w:pPr>
          </w:p>
        </w:tc>
        <w:tc>
          <w:tcPr>
            <w:tcW w:w="8360" w:type="dxa"/>
            <w:vAlign w:val="bottom"/>
            <w:gridSpan w:val="4"/>
          </w:tcPr>
          <w:p>
            <w:pPr>
              <w:jc w:val="center"/>
              <w:ind w:right="2920"/>
              <w:spacing w:after="0"/>
              <w:rPr>
                <w:sz w:val="20"/>
                <w:szCs w:val="20"/>
                <w:color w:val="auto"/>
              </w:rPr>
            </w:pPr>
            <w:r>
              <w:rPr>
                <w:rFonts w:ascii="Times New Roman" w:cs="Times New Roman" w:eastAsia="Times New Roman" w:hAnsi="Times New Roman"/>
                <w:sz w:val="18"/>
                <w:szCs w:val="18"/>
                <w:color w:val="auto"/>
              </w:rPr>
              <w:t>AND</w:t>
            </w:r>
          </w:p>
        </w:tc>
      </w:tr>
      <w:tr>
        <w:trPr>
          <w:trHeight w:val="213"/>
        </w:trPr>
        <w:tc>
          <w:tcPr>
            <w:tcW w:w="2880" w:type="dxa"/>
            <w:vAlign w:val="bottom"/>
          </w:tcPr>
          <w:p>
            <w:pPr>
              <w:spacing w:after="0"/>
              <w:rPr>
                <w:sz w:val="18"/>
                <w:szCs w:val="18"/>
                <w:color w:val="auto"/>
              </w:rPr>
            </w:pPr>
          </w:p>
        </w:tc>
        <w:tc>
          <w:tcPr>
            <w:tcW w:w="7220" w:type="dxa"/>
            <w:vAlign w:val="bottom"/>
          </w:tcPr>
          <w:p>
            <w:pPr>
              <w:jc w:val="center"/>
              <w:ind w:right="1691"/>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2880" w:type="dxa"/>
            <w:vAlign w:val="bottom"/>
          </w:tcPr>
          <w:p>
            <w:pPr>
              <w:spacing w:after="0"/>
              <w:rPr>
                <w:sz w:val="18"/>
                <w:szCs w:val="18"/>
                <w:color w:val="auto"/>
              </w:rPr>
            </w:pPr>
          </w:p>
        </w:tc>
        <w:tc>
          <w:tcPr>
            <w:tcW w:w="8360" w:type="dxa"/>
            <w:vAlign w:val="bottom"/>
            <w:gridSpan w:val="4"/>
          </w:tcPr>
          <w:p>
            <w:pPr>
              <w:jc w:val="center"/>
              <w:ind w:right="2920"/>
              <w:spacing w:after="0"/>
              <w:rPr>
                <w:sz w:val="20"/>
                <w:szCs w:val="20"/>
                <w:color w:val="auto"/>
              </w:rPr>
            </w:pPr>
            <w:r>
              <w:rPr>
                <w:rFonts w:ascii="Times New Roman" w:cs="Times New Roman" w:eastAsia="Times New Roman" w:hAnsi="Times New Roman"/>
                <w:sz w:val="18"/>
                <w:szCs w:val="18"/>
                <w:color w:val="auto"/>
                <w:w w:val="96"/>
              </w:rPr>
              <w:t>Trustee</w:t>
            </w:r>
          </w:p>
        </w:tc>
      </w:tr>
      <w:tr>
        <w:trPr>
          <w:trHeight w:val="213"/>
        </w:trPr>
        <w:tc>
          <w:tcPr>
            <w:tcW w:w="2880" w:type="dxa"/>
            <w:vAlign w:val="bottom"/>
          </w:tcPr>
          <w:p>
            <w:pPr>
              <w:spacing w:after="0"/>
              <w:rPr>
                <w:sz w:val="18"/>
                <w:szCs w:val="18"/>
                <w:color w:val="auto"/>
              </w:rPr>
            </w:pPr>
          </w:p>
        </w:tc>
        <w:tc>
          <w:tcPr>
            <w:tcW w:w="8360" w:type="dxa"/>
            <w:vAlign w:val="bottom"/>
            <w:gridSpan w:val="4"/>
          </w:tcPr>
          <w:p>
            <w:pPr>
              <w:jc w:val="center"/>
              <w:ind w:right="2900"/>
              <w:spacing w:after="0"/>
              <w:rPr>
                <w:sz w:val="20"/>
                <w:szCs w:val="20"/>
                <w:color w:val="auto"/>
              </w:rPr>
            </w:pPr>
            <w:r>
              <w:rPr>
                <w:rFonts w:ascii="Times New Roman" w:cs="Times New Roman" w:eastAsia="Times New Roman" w:hAnsi="Times New Roman"/>
                <w:sz w:val="18"/>
                <w:szCs w:val="18"/>
                <w:color w:val="auto"/>
                <w:w w:val="99"/>
              </w:rPr>
              <w:t>INDENTURE</w:t>
            </w:r>
          </w:p>
        </w:tc>
      </w:tr>
      <w:tr>
        <w:trPr>
          <w:trHeight w:val="213"/>
        </w:trPr>
        <w:tc>
          <w:tcPr>
            <w:tcW w:w="2880" w:type="dxa"/>
            <w:vAlign w:val="bottom"/>
          </w:tcPr>
          <w:p>
            <w:pPr>
              <w:spacing w:after="0"/>
              <w:rPr>
                <w:sz w:val="18"/>
                <w:szCs w:val="18"/>
                <w:color w:val="auto"/>
              </w:rPr>
            </w:pPr>
          </w:p>
        </w:tc>
        <w:tc>
          <w:tcPr>
            <w:tcW w:w="8360" w:type="dxa"/>
            <w:vAlign w:val="bottom"/>
            <w:gridSpan w:val="4"/>
          </w:tcPr>
          <w:p>
            <w:pPr>
              <w:jc w:val="center"/>
              <w:ind w:right="2900"/>
              <w:spacing w:after="0"/>
              <w:rPr>
                <w:sz w:val="20"/>
                <w:szCs w:val="20"/>
                <w:color w:val="auto"/>
              </w:rPr>
            </w:pPr>
            <w:r>
              <w:rPr>
                <w:rFonts w:ascii="Times New Roman" w:cs="Times New Roman" w:eastAsia="Times New Roman" w:hAnsi="Times New Roman"/>
                <w:sz w:val="18"/>
                <w:szCs w:val="18"/>
                <w:color w:val="auto"/>
                <w:w w:val="99"/>
              </w:rPr>
              <w:t>Dated as of [ ]</w:t>
            </w:r>
          </w:p>
        </w:tc>
      </w:tr>
      <w:tr>
        <w:trPr>
          <w:trHeight w:val="232"/>
        </w:trPr>
        <w:tc>
          <w:tcPr>
            <w:tcW w:w="2880" w:type="dxa"/>
            <w:vAlign w:val="bottom"/>
          </w:tcPr>
          <w:p>
            <w:pPr>
              <w:spacing w:after="0"/>
              <w:rPr>
                <w:sz w:val="20"/>
                <w:szCs w:val="20"/>
                <w:color w:val="auto"/>
              </w:rPr>
            </w:pPr>
          </w:p>
        </w:tc>
        <w:tc>
          <w:tcPr>
            <w:tcW w:w="8360" w:type="dxa"/>
            <w:vAlign w:val="bottom"/>
            <w:gridSpan w:val="4"/>
          </w:tcPr>
          <w:p>
            <w:pPr>
              <w:jc w:val="center"/>
              <w:ind w:right="2880"/>
              <w:spacing w:after="0"/>
              <w:rPr>
                <w:sz w:val="20"/>
                <w:szCs w:val="20"/>
                <w:color w:val="auto"/>
              </w:rPr>
            </w:pPr>
            <w:r>
              <w:rPr>
                <w:rFonts w:ascii="Times New Roman" w:cs="Times New Roman" w:eastAsia="Times New Roman" w:hAnsi="Times New Roman"/>
                <w:sz w:val="18"/>
                <w:szCs w:val="18"/>
                <w:color w:val="auto"/>
                <w:w w:val="98"/>
              </w:rPr>
              <w:t>Senior Debt Securities</w:t>
            </w:r>
          </w:p>
        </w:tc>
      </w:tr>
      <w:tr>
        <w:trPr>
          <w:trHeight w:val="427"/>
        </w:trPr>
        <w:tc>
          <w:tcPr>
            <w:tcW w:w="2880" w:type="dxa"/>
            <w:vAlign w:val="bottom"/>
          </w:tcPr>
          <w:p>
            <w:pPr>
              <w:spacing w:after="0"/>
              <w:rPr>
                <w:sz w:val="24"/>
                <w:szCs w:val="24"/>
                <w:color w:val="auto"/>
              </w:rPr>
            </w:pPr>
          </w:p>
        </w:tc>
        <w:tc>
          <w:tcPr>
            <w:tcW w:w="8360" w:type="dxa"/>
            <w:vAlign w:val="bottom"/>
            <w:gridSpan w:val="4"/>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CROSS-REFERENCE TABLE(1)</w:t>
            </w:r>
          </w:p>
        </w:tc>
      </w:tr>
      <w:tr>
        <w:trPr>
          <w:trHeight w:val="40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Section of</w:t>
            </w: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Trust Indenture Act</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of</w:t>
            </w: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 1939, as Amended</w:t>
            </w: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Indenture</w:t>
            </w:r>
          </w:p>
        </w:tc>
      </w:tr>
      <w:tr>
        <w:trPr>
          <w:trHeight w:val="213"/>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310(a).</w:t>
            </w:r>
          </w:p>
        </w:tc>
        <w:tc>
          <w:tcPr>
            <w:tcW w:w="7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60" w:type="dxa"/>
            <w:vAlign w:val="bottom"/>
            <w:tcBorders>
              <w:top w:val="single" w:sz="8" w:color="CCEEFF"/>
            </w:tcBorders>
            <w:shd w:val="clear" w:color="auto" w:fill="CCEEFF"/>
          </w:tcPr>
          <w:p>
            <w:pPr>
              <w:spacing w:after="0"/>
              <w:rPr>
                <w:sz w:val="18"/>
                <w:szCs w:val="18"/>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60" w:type="dxa"/>
            <w:vAlign w:val="bottom"/>
            <w:shd w:val="clear" w:color="auto" w:fill="CCEEFF"/>
          </w:tcPr>
          <w:p>
            <w:pPr>
              <w:spacing w:after="0"/>
              <w:rPr>
                <w:sz w:val="18"/>
                <w:szCs w:val="18"/>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7.13(a)</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7.13(b)</w:t>
            </w: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311(c).</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5.02(a)</w:t>
            </w: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312(b).</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5.02(b)</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5.02(c)</w:t>
            </w: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313(a).</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5.04(a)</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5.04(a)</w:t>
            </w: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313(c).</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5.04(a)</w:t>
            </w:r>
          </w:p>
        </w:tc>
      </w:tr>
      <w:tr>
        <w:trPr>
          <w:trHeight w:val="213"/>
        </w:trPr>
        <w:tc>
          <w:tcPr>
            <w:tcW w:w="28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5.04(b)</w:t>
            </w: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313(d).</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5.04(b)</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314(b).</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314(d).</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314(f).</w:t>
            </w: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7.01(a)</w:t>
            </w:r>
          </w:p>
        </w:tc>
      </w:tr>
      <w:tr>
        <w:trPr>
          <w:trHeight w:val="213"/>
        </w:trPr>
        <w:tc>
          <w:tcPr>
            <w:tcW w:w="288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shd w:val="clear" w:color="auto" w:fill="CCEEFF"/>
          </w:tcPr>
          <w:p>
            <w:pPr>
              <w:spacing w:after="0"/>
              <w:rPr>
                <w:sz w:val="18"/>
                <w:szCs w:val="18"/>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315(c).</w:t>
            </w:r>
          </w:p>
        </w:tc>
        <w:tc>
          <w:tcPr>
            <w:tcW w:w="8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60" w:type="dxa"/>
            <w:vAlign w:val="bottom"/>
            <w:shd w:val="clear" w:color="auto" w:fill="CCEEFF"/>
          </w:tcPr>
          <w:p>
            <w:pPr>
              <w:spacing w:after="0"/>
              <w:rPr>
                <w:sz w:val="18"/>
                <w:szCs w:val="18"/>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7.01(b)</w:t>
            </w:r>
          </w:p>
        </w:tc>
      </w:tr>
      <w:tr>
        <w:trPr>
          <w:trHeight w:val="213"/>
        </w:trPr>
        <w:tc>
          <w:tcPr>
            <w:tcW w:w="288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7.01(c)</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316(a).</w:t>
            </w:r>
          </w:p>
        </w:tc>
        <w:tc>
          <w:tcPr>
            <w:tcW w:w="8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0" w:type="dxa"/>
            <w:vAlign w:val="bottom"/>
            <w:shd w:val="clear" w:color="auto" w:fill="CCEEFF"/>
          </w:tcPr>
          <w:p>
            <w:pPr>
              <w:spacing w:after="0"/>
              <w:rPr>
                <w:sz w:val="18"/>
                <w:szCs w:val="18"/>
                <w:color w:val="auto"/>
              </w:rPr>
            </w:pPr>
          </w:p>
        </w:tc>
      </w:tr>
      <w:tr>
        <w:trPr>
          <w:trHeight w:val="213"/>
        </w:trPr>
        <w:tc>
          <w:tcPr>
            <w:tcW w:w="2880" w:type="dxa"/>
            <w:vAlign w:val="bottom"/>
          </w:tcPr>
          <w:p>
            <w:pPr>
              <w:spacing w:after="0"/>
              <w:rPr>
                <w:sz w:val="18"/>
                <w:szCs w:val="18"/>
                <w:color w:val="auto"/>
              </w:rPr>
            </w:pP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316(b).</w:t>
            </w:r>
          </w:p>
        </w:tc>
        <w:tc>
          <w:tcPr>
            <w:tcW w:w="8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shd w:val="clear" w:color="auto" w:fill="CCEEFF"/>
          </w:tcPr>
          <w:p>
            <w:pPr>
              <w:spacing w:after="0"/>
              <w:rPr>
                <w:sz w:val="18"/>
                <w:szCs w:val="18"/>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317(a).</w:t>
            </w:r>
          </w:p>
        </w:tc>
        <w:tc>
          <w:tcPr>
            <w:tcW w:w="8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shd w:val="clear" w:color="auto" w:fill="CCEEFF"/>
          </w:tcPr>
          <w:p>
            <w:pPr>
              <w:spacing w:after="0"/>
              <w:rPr>
                <w:sz w:val="18"/>
                <w:szCs w:val="18"/>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8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Pr>
          <w:p>
            <w:pPr>
              <w:spacing w:after="0"/>
              <w:rPr>
                <w:sz w:val="18"/>
                <w:szCs w:val="18"/>
                <w:color w:val="auto"/>
              </w:rPr>
            </w:pPr>
          </w:p>
        </w:tc>
      </w:tr>
      <w:tr>
        <w:trPr>
          <w:trHeight w:val="21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318(a).</w:t>
            </w:r>
          </w:p>
        </w:tc>
        <w:tc>
          <w:tcPr>
            <w:tcW w:w="8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460" w:right="20" w:hanging="445"/>
        <w:spacing w:after="0" w:line="277"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6"/>
        </w:trPr>
        <w:tc>
          <w:tcPr>
            <w:tcW w:w="1340" w:type="dxa"/>
            <w:vAlign w:val="bottom"/>
          </w:tcPr>
          <w:p>
            <w:pPr>
              <w:spacing w:after="0"/>
              <w:rPr>
                <w:sz w:val="20"/>
                <w:szCs w:val="20"/>
                <w:color w:val="auto"/>
              </w:rPr>
            </w:pPr>
          </w:p>
        </w:tc>
        <w:tc>
          <w:tcPr>
            <w:tcW w:w="946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TABLE OF CONTENTS(2)</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w:t>
            </w:r>
          </w:p>
        </w:tc>
        <w:tc>
          <w:tcPr>
            <w:tcW w:w="94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8"/>
        </w:trPr>
        <w:tc>
          <w:tcPr>
            <w:tcW w:w="1340" w:type="dxa"/>
            <w:vAlign w:val="bottom"/>
            <w:vMerge w:val="continue"/>
          </w:tcPr>
          <w:p>
            <w:pPr>
              <w:spacing w:after="0"/>
              <w:rPr>
                <w:sz w:val="16"/>
                <w:szCs w:val="16"/>
                <w:color w:val="auto"/>
              </w:rPr>
            </w:pPr>
          </w:p>
        </w:tc>
        <w:tc>
          <w:tcPr>
            <w:tcW w:w="9460" w:type="dxa"/>
            <w:vAlign w:val="bottom"/>
            <w:vMerge w:val="continue"/>
          </w:tcPr>
          <w:p>
            <w:pPr>
              <w:spacing w:after="0"/>
              <w:rPr>
                <w:sz w:val="16"/>
                <w:szCs w:val="16"/>
                <w:color w:val="auto"/>
              </w:rPr>
            </w:pPr>
          </w:p>
        </w:tc>
        <w:tc>
          <w:tcPr>
            <w:tcW w:w="4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 of Terms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 DESCRIPTION, TERMS, EXECUTION, REGISTRATION AND EXCHANGE OF SECURITIES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Temporary Securities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of Indenture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Authenticating Agent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Securities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Redemption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Upon Redemption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Sinking Fund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Paying Agents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693"/>
        </w:trPr>
        <w:tc>
          <w:tcPr>
            <w:tcW w:w="134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the Company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the Trustee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Suits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CONCERNING THE TRUSTEE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 Not Responsible for Recitals or Issuance of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Hold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Moneys Held in Trust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CONCERNING THE SECURITYHOLDERS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693"/>
        </w:trPr>
        <w:tc>
          <w:tcPr>
            <w:tcW w:w="13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2"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Quorum; Action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ENTITY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to Company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IMMUNITY OF INCORPORATORS, SHAREHOLDERS, OFFICERS AND DIRECTORS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Recourse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PROVISIONS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Actions by Successor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Separability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4" w:lineRule="exact"/>
        <w:rPr>
          <w:sz w:val="20"/>
          <w:szCs w:val="20"/>
          <w:color w:val="auto"/>
        </w:rPr>
      </w:pPr>
    </w:p>
    <w:p>
      <w:pPr>
        <w:ind w:left="460" w:hanging="445"/>
        <w:spacing w:after="0"/>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of Contents does not constitute part of the Indenture and shall not have any bearing on the interpretation of any of its terms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446405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4" w:name="page65"/>
    <w:bookmarkEnd w:id="64"/>
    <w:p>
      <w:pPr>
        <w:jc w:val="both"/>
        <w:spacing w:after="0" w:line="277" w:lineRule="auto"/>
        <w:rPr>
          <w:sz w:val="20"/>
          <w:szCs w:val="20"/>
          <w:color w:val="auto"/>
        </w:rPr>
      </w:pPr>
      <w:r>
        <w:rPr>
          <w:rFonts w:ascii="Times New Roman" w:cs="Times New Roman" w:eastAsia="Times New Roman" w:hAnsi="Times New Roman"/>
          <w:sz w:val="18"/>
          <w:szCs w:val="18"/>
          <w:color w:val="auto"/>
        </w:rPr>
        <w:t>INDENTURE, dated as of [ ], by and between TMC the metals company Inc., a corporation existing under the laws of British Columbia, Canada (the “Company”), and [ ], as trustee (the “Trustee”):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WHEREAS, to provide the terms and conditions upon which the Securities are to be authenticated, issued and delivered, the Company has duly authorized the execution of this Indenture; 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I</w:t>
      </w:r>
    </w:p>
    <w:p>
      <w:pPr>
        <w:spacing w:after="0" w:line="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DEFINITIONS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 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 means Title 11, U.S. Code, or any similar federal or state law for the relief of debtors.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 or any duly authorized committee of such Board.</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jc w:val="both"/>
        <w:spacing w:after="0" w:line="277" w:lineRule="auto"/>
        <w:rPr>
          <w:sz w:val="20"/>
          <w:szCs w:val="20"/>
          <w:color w:val="auto"/>
        </w:rPr>
      </w:pPr>
      <w:r>
        <w:rPr>
          <w:rFonts w:ascii="Times New Roman" w:cs="Times New Roman" w:eastAsia="Times New Roman" w:hAnsi="Times New Roman"/>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means a certificate signed by the principal executive officer, the principal financial officer or the principal accounting officer of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 need not comply with the provisions of Section 13.07.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means the Securities and Exchange Commission.</w:t>
      </w:r>
    </w:p>
    <w:p>
      <w:pPr>
        <w:spacing w:after="0" w:line="20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 means any receiver, trustee, assignee, liquidator, or similar official under any Bankruptcy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means an event which is, or after notice or lapse of time, or both, would constitute an Event of Default.</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“Event of Default” means, with respect to Securities of a particular series, any event specified in Section 6.01, continued for the period of time, if any, therein designated.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“herein,” “hereof” and “hereunder,” and other words of similar import, refer to this Indenture as a whole and not to any particular Article, Section or other subdivision.</w:t>
      </w:r>
    </w:p>
    <w:p>
      <w:pPr>
        <w:spacing w:after="0" w:line="1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2" w:right="339" w:bottom="895" w:gutter="0" w:footer="0" w:header="0"/>
        </w:sectPr>
      </w:pPr>
    </w:p>
    <w:bookmarkStart w:id="66" w:name="page67"/>
    <w:bookmarkEnd w:id="66"/>
    <w:p>
      <w:pPr>
        <w:jc w:val="both"/>
        <w:spacing w:after="0" w:line="277"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means the debt Securities authenticated and delivered under this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Register” has the meaning specified in Section 2.05.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has the meaning specified in Section 2.05.</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II</w:t>
      </w:r>
    </w:p>
    <w:p>
      <w:pPr>
        <w:spacing w:after="0" w:line="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ISSUE, DESCRIPTION, TERMS, EXECUTION,</w:t>
      </w:r>
    </w:p>
    <w:p>
      <w:pPr>
        <w:spacing w:after="0" w:line="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REGISTRATION AND EXCHANGE OF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Terms of Securities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4" w:lineRule="auto"/>
        <w:tabs>
          <w:tab w:leader="none" w:pos="2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6" w:lineRule="exact"/>
        <w:rPr>
          <w:sz w:val="20"/>
          <w:szCs w:val="20"/>
          <w:color w:val="auto"/>
        </w:rPr>
      </w:pPr>
    </w:p>
    <w:p>
      <w:pPr>
        <w:ind w:left="5560" w:right="2920" w:hanging="5553"/>
        <w:spacing w:after="0" w:line="772" w:lineRule="auto"/>
        <w:tabs>
          <w:tab w:leader="none" w:pos="2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Security of the series (which shall distinguish the Securities of the series from all other Securities);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-290830</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jc w:val="both"/>
        <w:ind w:firstLine="7"/>
        <w:spacing w:after="0" w:line="262" w:lineRule="auto"/>
        <w:tabs>
          <w:tab w:leader="none" w:pos="2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4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and the place(s) of payment;</w:t>
      </w:r>
    </w:p>
    <w:p>
      <w:pPr>
        <w:spacing w:after="0" w:line="20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06" w:lineRule="exact"/>
        <w:rPr>
          <w:rFonts w:ascii="Times New Roman" w:cs="Times New Roman" w:eastAsia="Times New Roman" w:hAnsi="Times New Roman"/>
          <w:sz w:val="18"/>
          <w:szCs w:val="18"/>
          <w:color w:val="auto"/>
        </w:rPr>
      </w:pPr>
    </w:p>
    <w:p>
      <w:pPr>
        <w:jc w:val="both"/>
        <w:ind w:firstLine="7"/>
        <w:spacing w:after="0" w:line="262"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to defer the payment of interest and the duration of such extension;</w:t>
      </w:r>
    </w:p>
    <w:p>
      <w:pPr>
        <w:spacing w:after="0" w:line="206" w:lineRule="exact"/>
        <w:rPr>
          <w:rFonts w:ascii="Times New Roman" w:cs="Times New Roman" w:eastAsia="Times New Roman" w:hAnsi="Times New Roman"/>
          <w:sz w:val="18"/>
          <w:szCs w:val="18"/>
          <w:color w:val="auto"/>
        </w:rPr>
      </w:pPr>
    </w:p>
    <w:p>
      <w:pPr>
        <w:ind w:firstLine="7"/>
        <w:spacing w:after="0" w:line="277" w:lineRule="auto"/>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49" w:lineRule="exact"/>
        <w:rPr>
          <w:rFonts w:ascii="Times New Roman" w:cs="Times New Roman" w:eastAsia="Times New Roman" w:hAnsi="Times New Roman"/>
          <w:sz w:val="18"/>
          <w:szCs w:val="18"/>
          <w:color w:val="auto"/>
        </w:rPr>
      </w:pPr>
    </w:p>
    <w:p>
      <w:pPr>
        <w:jc w:val="both"/>
        <w:ind w:firstLine="7"/>
        <w:spacing w:after="0" w:line="257" w:lineRule="auto"/>
        <w:tabs>
          <w:tab w:leader="none" w:pos="2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7"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06"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06" w:lineRule="exact"/>
        <w:rPr>
          <w:rFonts w:ascii="Times New Roman" w:cs="Times New Roman" w:eastAsia="Times New Roman" w:hAnsi="Times New Roman"/>
          <w:sz w:val="18"/>
          <w:szCs w:val="18"/>
          <w:color w:val="auto"/>
        </w:rPr>
      </w:pPr>
    </w:p>
    <w:p>
      <w:pPr>
        <w:ind w:firstLine="7"/>
        <w:spacing w:after="0" w:line="277" w:lineRule="auto"/>
        <w:tabs>
          <w:tab w:leader="none" w:pos="3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49" w:lineRule="exact"/>
        <w:rPr>
          <w:rFonts w:ascii="Times New Roman" w:cs="Times New Roman" w:eastAsia="Times New Roman" w:hAnsi="Times New Roman"/>
          <w:sz w:val="18"/>
          <w:szCs w:val="18"/>
          <w:color w:val="auto"/>
        </w:rPr>
      </w:pPr>
    </w:p>
    <w:p>
      <w:pPr>
        <w:jc w:val="both"/>
        <w:ind w:firstLine="7"/>
        <w:spacing w:after="0" w:line="262" w:lineRule="auto"/>
        <w:tabs>
          <w:tab w:leader="none" w:pos="3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6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issuable as a Global Security and, in such case, the identity of the Depositary for such series;</w:t>
      </w:r>
    </w:p>
    <w:p>
      <w:pPr>
        <w:spacing w:after="0" w:line="206" w:lineRule="exact"/>
        <w:rPr>
          <w:rFonts w:ascii="Times New Roman" w:cs="Times New Roman" w:eastAsia="Times New Roman" w:hAnsi="Times New Roman"/>
          <w:sz w:val="18"/>
          <w:szCs w:val="18"/>
          <w:color w:val="auto"/>
        </w:rPr>
      </w:pPr>
    </w:p>
    <w:p>
      <w:pPr>
        <w:ind w:firstLine="7"/>
        <w:spacing w:after="0" w:line="277" w:lineRule="auto"/>
        <w:tabs>
          <w:tab w:leader="none" w:pos="34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common shares or other securities of the Company and, if so, the terms and conditions upon which such Securities will be so convertible, including the conversion price and the conversion period;</w:t>
      </w:r>
    </w:p>
    <w:p>
      <w:pPr>
        <w:spacing w:after="0" w:line="149" w:lineRule="exact"/>
        <w:rPr>
          <w:rFonts w:ascii="Times New Roman" w:cs="Times New Roman" w:eastAsia="Times New Roman" w:hAnsi="Times New Roman"/>
          <w:sz w:val="18"/>
          <w:szCs w:val="18"/>
          <w:color w:val="auto"/>
        </w:rPr>
      </w:pPr>
    </w:p>
    <w:p>
      <w:pPr>
        <w:ind w:firstLine="7"/>
        <w:spacing w:after="0" w:line="277" w:lineRule="auto"/>
        <w:tabs>
          <w:tab w:leader="none" w:pos="3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49"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different Events of Default or restrictive covenants provided for with respect to the Securities of the series.</w:t>
      </w: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Securities and Trustee’s Certificate</w:t>
      </w:r>
      <w:r>
        <w:rPr>
          <w:rFonts w:ascii="Times New Roman" w:cs="Times New Roman" w:eastAsia="Times New Roman" w:hAnsi="Times New Roman"/>
          <w:sz w:val="18"/>
          <w:szCs w:val="18"/>
          <w:color w:val="auto"/>
        </w:rPr>
        <w:t>. 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Denominations: Provisions for Payment</w:t>
      </w:r>
      <w:r>
        <w:rPr>
          <w:rFonts w:ascii="Times New Roman" w:cs="Times New Roman" w:eastAsia="Times New Roman" w:hAnsi="Times New Roman"/>
          <w:sz w:val="18"/>
          <w:szCs w:val="18"/>
          <w:color w:val="auto"/>
        </w:rPr>
        <w:t>. 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7"/>
        <w:spacing w:after="0" w:line="249" w:lineRule="auto"/>
        <w:tabs>
          <w:tab w:leader="none" w:pos="2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97" w:lineRule="exact"/>
        <w:rPr>
          <w:rFonts w:ascii="Times New Roman" w:cs="Times New Roman" w:eastAsia="Times New Roman" w:hAnsi="Times New Roman"/>
          <w:sz w:val="18"/>
          <w:szCs w:val="18"/>
          <w:color w:val="auto"/>
        </w:rPr>
      </w:pPr>
    </w:p>
    <w:p>
      <w:pPr>
        <w:jc w:val="both"/>
        <w:ind w:firstLine="7"/>
        <w:spacing w:after="0" w:line="262" w:lineRule="auto"/>
        <w:tabs>
          <w:tab w:leader="none" w:pos="2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Execution and Authentications</w:t>
      </w:r>
      <w:r>
        <w:rPr>
          <w:rFonts w:ascii="Times New Roman" w:cs="Times New Roman" w:eastAsia="Times New Roman" w:hAnsi="Times New Roman"/>
          <w:sz w:val="18"/>
          <w:szCs w:val="18"/>
          <w:color w:val="auto"/>
        </w:rPr>
        <w:t>. 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securities exchange rule or usage. Each Security shall be dated the date of its authentication.</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jc w:val="both"/>
        <w:spacing w:after="0" w:line="252" w:lineRule="auto"/>
        <w:rPr>
          <w:sz w:val="20"/>
          <w:szCs w:val="20"/>
          <w:color w:val="auto"/>
        </w:rPr>
      </w:pPr>
      <w:r>
        <w:rPr>
          <w:rFonts w:ascii="Times New Roman" w:cs="Times New Roman" w:eastAsia="Times New Roman" w:hAnsi="Times New Roman"/>
          <w:sz w:val="18"/>
          <w:szCs w:val="18"/>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Registration of Transfer and Exchange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5" w:lineRule="exact"/>
        <w:rPr>
          <w:rFonts w:ascii="Times New Roman" w:cs="Times New Roman" w:eastAsia="Times New Roman" w:hAnsi="Times New Roman"/>
          <w:sz w:val="18"/>
          <w:szCs w:val="18"/>
          <w:color w:val="auto"/>
        </w:rPr>
      </w:pPr>
    </w:p>
    <w:p>
      <w:pPr>
        <w:jc w:val="both"/>
        <w:ind w:firstLine="7"/>
        <w:spacing w:after="0" w:line="254" w:lineRule="auto"/>
        <w:tabs>
          <w:tab w:leader="none" w:pos="2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7"/>
        <w:spacing w:after="0" w:line="262" w:lineRule="auto"/>
        <w:tabs>
          <w:tab w:leader="none" w:pos="2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Mutilated, Destroyed, Lost or Stolen Securities</w:t>
      </w:r>
      <w:r>
        <w:rPr>
          <w:rFonts w:ascii="Times New Roman" w:cs="Times New Roman" w:eastAsia="Times New Roman" w:hAnsi="Times New Roman"/>
          <w:sz w:val="18"/>
          <w:szCs w:val="18"/>
          <w:color w:val="auto"/>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2" w:lineRule="auto"/>
        <w:tabs>
          <w:tab w:leader="none" w:pos="2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6" w:lineRule="exact"/>
        <w:rPr>
          <w:rFonts w:ascii="Times New Roman" w:cs="Times New Roman" w:eastAsia="Times New Roman" w:hAnsi="Times New Roman"/>
          <w:sz w:val="18"/>
          <w:szCs w:val="18"/>
          <w:color w:val="auto"/>
        </w:rPr>
      </w:pPr>
    </w:p>
    <w:p>
      <w:pPr>
        <w:jc w:val="both"/>
        <w:ind w:firstLine="7"/>
        <w:spacing w:after="0" w:line="262" w:lineRule="auto"/>
        <w:tabs>
          <w:tab w:leader="none" w:pos="2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6" w:lineRule="exact"/>
        <w:rPr>
          <w:rFonts w:ascii="Times New Roman" w:cs="Times New Roman" w:eastAsia="Times New Roman" w:hAnsi="Times New Roman"/>
          <w:sz w:val="18"/>
          <w:szCs w:val="18"/>
          <w:color w:val="auto"/>
        </w:rPr>
      </w:pPr>
    </w:p>
    <w:p>
      <w:pPr>
        <w:jc w:val="both"/>
        <w:ind w:firstLine="7"/>
        <w:spacing w:after="0" w:line="249" w:lineRule="auto"/>
        <w:tabs>
          <w:tab w:leader="none" w:pos="2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Company may redeem the Securities of any series issued hereunder on and after the dates and in accordance with the terms established for such series pursuant to Section 2.01 hereof.</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67" w:lineRule="auto"/>
        <w:tabs>
          <w:tab w:leader="none" w:pos="25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90" w:lineRule="exact"/>
        <w:rPr>
          <w:sz w:val="20"/>
          <w:szCs w:val="20"/>
          <w:color w:val="auto"/>
        </w:rPr>
      </w:pPr>
    </w:p>
    <w:p>
      <w:pPr>
        <w:jc w:val="both"/>
        <w:ind w:firstLine="7"/>
        <w:spacing w:after="0" w:line="250" w:lineRule="auto"/>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Payment Upon Redemption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1" w:lineRule="auto"/>
        <w:tabs>
          <w:tab w:leader="none" w:pos="2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jc w:val="both"/>
        <w:ind w:firstLine="7"/>
        <w:spacing w:after="0" w:line="262"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 The provisions of Sections 3.04, 3.05 and 3.06 shall be applicable to any sinking fund for the retirement of Securities of a series, except as otherwise specified as contemplated by Section 2.01 for Securities of such series.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ARTICLE IV</w:t>
      </w:r>
    </w:p>
    <w:p>
      <w:pPr>
        <w:spacing w:after="0" w:line="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 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63" w:lineRule="exact"/>
        <w:rPr>
          <w:sz w:val="20"/>
          <w:szCs w:val="20"/>
          <w:color w:val="auto"/>
        </w:rPr>
      </w:pPr>
    </w:p>
    <w:p>
      <w:pPr>
        <w:ind w:firstLine="7"/>
        <w:spacing w:after="0" w:line="277" w:lineRule="auto"/>
        <w:tabs>
          <w:tab w:leader="none" w:pos="2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0" w:lineRule="exact"/>
        <w:rPr>
          <w:sz w:val="20"/>
          <w:szCs w:val="20"/>
          <w:color w:val="auto"/>
        </w:rPr>
      </w:pPr>
    </w:p>
    <w:p>
      <w:pPr>
        <w:jc w:val="both"/>
        <w:ind w:firstLine="7"/>
        <w:spacing w:after="0" w:line="257" w:lineRule="auto"/>
        <w:tabs>
          <w:tab w:leader="none" w:pos="2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6" w:lineRule="exact"/>
        <w:rPr>
          <w:sz w:val="20"/>
          <w:szCs w:val="20"/>
          <w:color w:val="auto"/>
        </w:rPr>
      </w:pPr>
    </w:p>
    <w:p>
      <w:pPr>
        <w:jc w:val="both"/>
        <w:ind w:firstLine="7"/>
        <w:spacing w:after="0" w:line="254" w:lineRule="auto"/>
        <w:tabs>
          <w:tab w:leader="none" w:pos="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Appointment to Fill Vacancy in Office of Trustee</w:t>
      </w:r>
      <w:r>
        <w:rPr>
          <w:rFonts w:ascii="Times New Roman" w:cs="Times New Roman" w:eastAsia="Times New Roman" w:hAnsi="Times New Roman"/>
          <w:sz w:val="18"/>
          <w:szCs w:val="18"/>
          <w:color w:val="auto"/>
        </w:rPr>
        <w:t>. The Company, whenever necessary to avoid or fill a vacancy in the office of Trustee, will appoint, in the manner provided in Section 7.10, a Trustee, so that there shall at all times be a Trustee hereunder.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with Consolidation Provisions</w:t>
      </w:r>
      <w:r>
        <w:rPr>
          <w:rFonts w:ascii="Times New Roman" w:cs="Times New Roman" w:eastAsia="Times New Roman" w:hAnsi="Times New Roman"/>
          <w:sz w:val="18"/>
          <w:szCs w:val="18"/>
          <w:color w:val="auto"/>
        </w:rPr>
        <w:t>. 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V</w:t>
      </w:r>
    </w:p>
    <w:p>
      <w:pPr>
        <w:spacing w:after="0" w:line="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SECURITYHOLDERS’ LISTS AND REPORTS</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BY THE COMPANY AND THE TRUSTEE</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Company to Furnish Trustee Names and Addresses of Securityholders</w:t>
      </w:r>
      <w:r>
        <w:rPr>
          <w:rFonts w:ascii="Times New Roman" w:cs="Times New Roman" w:eastAsia="Times New Roman" w:hAnsi="Times New Roman"/>
          <w:sz w:val="18"/>
          <w:szCs w:val="18"/>
          <w:color w:val="auto"/>
        </w:rPr>
        <w:t>. 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Preservation of Information; Communications with Securityholders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62" w:lineRule="auto"/>
        <w:tabs>
          <w:tab w:leader="none" w:pos="2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ind w:left="260" w:hanging="253"/>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2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1" w:lineRule="auto"/>
        <w:tabs>
          <w:tab w:leader="none" w:pos="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86" w:lineRule="exact"/>
        <w:rPr>
          <w:rFonts w:ascii="Times New Roman" w:cs="Times New Roman" w:eastAsia="Times New Roman" w:hAnsi="Times New Roman"/>
          <w:sz w:val="18"/>
          <w:szCs w:val="18"/>
          <w:color w:val="auto"/>
        </w:rPr>
      </w:pPr>
    </w:p>
    <w:p>
      <w:pPr>
        <w:jc w:val="both"/>
        <w:ind w:firstLine="7"/>
        <w:spacing w:after="0" w:line="262" w:lineRule="auto"/>
        <w:tabs>
          <w:tab w:leader="none" w:pos="2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if required by Section 313 of the Trust Indenture Act, also with the Commission. The Company agrees to notify the Trustee when any Securities become listed on any securities exchange.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VI</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REMEDIES OF THE TRUSTEE AND SECURITYHOLDERS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EVENT OF DEFAULT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3" w:lineRule="exact"/>
        <w:rPr>
          <w:sz w:val="20"/>
          <w:szCs w:val="20"/>
          <w:color w:val="auto"/>
        </w:rPr>
      </w:pPr>
    </w:p>
    <w:p>
      <w:pPr>
        <w:jc w:val="both"/>
        <w:ind w:firstLine="7"/>
        <w:spacing w:after="0" w:line="262" w:lineRule="auto"/>
        <w:tabs>
          <w:tab w:leader="none" w:pos="2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0" w:lineRule="exact"/>
        <w:rPr>
          <w:rFonts w:ascii="Times New Roman" w:cs="Times New Roman" w:eastAsia="Times New Roman" w:hAnsi="Times New Roman"/>
          <w:sz w:val="18"/>
          <w:szCs w:val="18"/>
          <w:color w:val="auto"/>
        </w:rPr>
      </w:pPr>
    </w:p>
    <w:p>
      <w:pPr>
        <w:jc w:val="both"/>
        <w:ind w:firstLine="7"/>
        <w:spacing w:after="0" w:line="253"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jc w:val="both"/>
        <w:ind w:firstLine="7"/>
        <w:spacing w:after="0" w:line="262" w:lineRule="auto"/>
        <w:tabs>
          <w:tab w:leader="none" w:pos="2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2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76" w:lineRule="exact"/>
        <w:rPr>
          <w:sz w:val="20"/>
          <w:szCs w:val="20"/>
          <w:color w:val="auto"/>
        </w:rPr>
      </w:pPr>
    </w:p>
    <w:p>
      <w:pPr>
        <w:jc w:val="both"/>
        <w:ind w:firstLine="7"/>
        <w:spacing w:after="0" w:line="253" w:lineRule="auto"/>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p>
      <w:pPr>
        <w:spacing w:after="0" w:line="185" w:lineRule="exact"/>
        <w:rPr>
          <w:rFonts w:ascii="Times New Roman" w:cs="Times New Roman" w:eastAsia="Times New Roman" w:hAnsi="Times New Roman"/>
          <w:sz w:val="18"/>
          <w:szCs w:val="18"/>
          <w:color w:val="auto"/>
        </w:rPr>
      </w:pPr>
    </w:p>
    <w:p>
      <w:pPr>
        <w:jc w:val="both"/>
        <w:ind w:firstLine="7"/>
        <w:spacing w:after="0" w:line="250" w:lineRule="auto"/>
        <w:tabs>
          <w:tab w:leader="none" w:pos="2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92" w:lineRule="exact"/>
        <w:rPr>
          <w:rFonts w:ascii="Times New Roman" w:cs="Times New Roman" w:eastAsia="Times New Roman" w:hAnsi="Times New Roman"/>
          <w:sz w:val="18"/>
          <w:szCs w:val="18"/>
          <w:color w:val="auto"/>
        </w:rPr>
      </w:pPr>
    </w:p>
    <w:p>
      <w:pPr>
        <w:jc w:val="both"/>
        <w:ind w:firstLine="7"/>
        <w:spacing w:after="0" w:line="254" w:lineRule="auto"/>
        <w:tabs>
          <w:tab w:leader="none" w:pos="2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1" w:lineRule="auto"/>
        <w:tabs>
          <w:tab w:leader="none" w:pos="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6" w:lineRule="exact"/>
        <w:rPr>
          <w:rFonts w:ascii="Times New Roman" w:cs="Times New Roman" w:eastAsia="Times New Roman" w:hAnsi="Times New Roman"/>
          <w:sz w:val="18"/>
          <w:szCs w:val="18"/>
          <w:color w:val="auto"/>
        </w:rPr>
      </w:pPr>
    </w:p>
    <w:p>
      <w:pPr>
        <w:jc w:val="both"/>
        <w:ind w:firstLine="7"/>
        <w:spacing w:after="0" w:line="254" w:lineRule="auto"/>
        <w:tabs>
          <w:tab w:leader="none" w:pos="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jc w:val="both"/>
        <w:ind w:firstLine="7"/>
        <w:spacing w:after="0" w:line="251" w:lineRule="auto"/>
        <w:tabs>
          <w:tab w:leader="none" w:pos="2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6" w:lineRule="exact"/>
        <w:rPr>
          <w:rFonts w:ascii="Times New Roman" w:cs="Times New Roman" w:eastAsia="Times New Roman" w:hAnsi="Times New Roman"/>
          <w:sz w:val="18"/>
          <w:szCs w:val="18"/>
          <w:color w:val="auto"/>
        </w:rPr>
      </w:pPr>
    </w:p>
    <w:p>
      <w:pPr>
        <w:jc w:val="both"/>
        <w:ind w:firstLine="7"/>
        <w:spacing w:after="0" w:line="257" w:lineRule="auto"/>
        <w:tabs>
          <w:tab w:leader="none" w:pos="2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 and</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Rights and Remedies Cumulative; Delay or Omission Not Waiver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7" w:lineRule="auto"/>
        <w:tabs>
          <w:tab w:leader="none" w:pos="2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0" w:lineRule="exact"/>
        <w:rPr>
          <w:rFonts w:ascii="Times New Roman" w:cs="Times New Roman" w:eastAsia="Times New Roman" w:hAnsi="Times New Roman"/>
          <w:sz w:val="18"/>
          <w:szCs w:val="18"/>
          <w:color w:val="auto"/>
        </w:rPr>
      </w:pPr>
    </w:p>
    <w:p>
      <w:pPr>
        <w:jc w:val="both"/>
        <w:ind w:firstLine="7"/>
        <w:spacing w:after="0" w:line="257" w:lineRule="auto"/>
        <w:tabs>
          <w:tab w:leader="none" w:pos="2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 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color w:val="auto"/>
        </w:rPr>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CONCERNING THE TRUSTEE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Certain Duties and Responsibilities of Trustee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5" w:lineRule="exact"/>
        <w:rPr>
          <w:rFonts w:ascii="Times New Roman" w:cs="Times New Roman" w:eastAsia="Times New Roman" w:hAnsi="Times New Roman"/>
          <w:sz w:val="18"/>
          <w:szCs w:val="18"/>
          <w:color w:val="auto"/>
        </w:rPr>
      </w:pPr>
    </w:p>
    <w:p>
      <w:pPr>
        <w:ind w:firstLine="7"/>
        <w:spacing w:after="0" w:line="277" w:lineRule="auto"/>
        <w:tabs>
          <w:tab w:leader="none" w:pos="26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3" w:lineRule="exact"/>
        <w:rPr>
          <w:sz w:val="20"/>
          <w:szCs w:val="20"/>
          <w:color w:val="auto"/>
        </w:rPr>
      </w:pPr>
    </w:p>
    <w:p>
      <w:pPr>
        <w:ind w:firstLine="7"/>
        <w:spacing w:after="0" w:line="277" w:lineRule="auto"/>
        <w:tabs>
          <w:tab w:leader="none" w:pos="2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3" w:lineRule="exact"/>
        <w:rPr>
          <w:sz w:val="20"/>
          <w:szCs w:val="20"/>
          <w:color w:val="auto"/>
        </w:rPr>
      </w:pPr>
    </w:p>
    <w:p>
      <w:pPr>
        <w:jc w:val="both"/>
        <w:ind w:firstLine="7"/>
        <w:spacing w:after="0" w:line="262" w:lineRule="auto"/>
        <w:tabs>
          <w:tab w:leader="none" w:pos="2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81" w:lineRule="exact"/>
        <w:rPr>
          <w:sz w:val="20"/>
          <w:szCs w:val="20"/>
          <w:color w:val="auto"/>
        </w:rPr>
      </w:pPr>
    </w:p>
    <w:p>
      <w:pPr>
        <w:ind w:firstLine="7"/>
        <w:spacing w:after="0" w:line="277" w:lineRule="auto"/>
        <w:tabs>
          <w:tab w:leader="none" w:pos="2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0" w:lineRule="exact"/>
        <w:rPr>
          <w:rFonts w:ascii="Times New Roman" w:cs="Times New Roman" w:eastAsia="Times New Roman" w:hAnsi="Times New Roman"/>
          <w:sz w:val="18"/>
          <w:szCs w:val="18"/>
          <w:color w:val="auto"/>
        </w:rPr>
      </w:pPr>
    </w:p>
    <w:p>
      <w:pPr>
        <w:jc w:val="both"/>
        <w:ind w:firstLine="7"/>
        <w:spacing w:after="0" w:line="262" w:lineRule="auto"/>
        <w:tabs>
          <w:tab w:leader="none" w:pos="2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Except as otherwise provided in Section 7.01:</w:t>
      </w:r>
    </w:p>
    <w:p>
      <w:pPr>
        <w:spacing w:after="0" w:line="220" w:lineRule="exact"/>
        <w:rPr>
          <w:sz w:val="20"/>
          <w:szCs w:val="20"/>
          <w:color w:val="auto"/>
        </w:rPr>
      </w:pPr>
    </w:p>
    <w:p>
      <w:pPr>
        <w:jc w:val="both"/>
        <w:ind w:firstLine="7"/>
        <w:spacing w:after="0" w:line="262" w:lineRule="auto"/>
        <w:tabs>
          <w:tab w:leader="none" w:pos="2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ind w:firstLine="7"/>
        <w:spacing w:after="0" w:line="277"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62" w:lineRule="exact"/>
        <w:rPr>
          <w:rFonts w:ascii="Times New Roman" w:cs="Times New Roman" w:eastAsia="Times New Roman" w:hAnsi="Times New Roman"/>
          <w:sz w:val="18"/>
          <w:szCs w:val="18"/>
          <w:color w:val="auto"/>
        </w:rPr>
      </w:pPr>
    </w:p>
    <w:p>
      <w:pPr>
        <w:jc w:val="both"/>
        <w:ind w:firstLine="7"/>
        <w:spacing w:after="0" w:line="253" w:lineRule="auto"/>
        <w:tabs>
          <w:tab w:leader="none" w:pos="2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85" w:lineRule="exact"/>
        <w:rPr>
          <w:rFonts w:ascii="Times New Roman" w:cs="Times New Roman" w:eastAsia="Times New Roman" w:hAnsi="Times New Roman"/>
          <w:sz w:val="18"/>
          <w:szCs w:val="18"/>
          <w:color w:val="auto"/>
        </w:rPr>
      </w:pPr>
    </w:p>
    <w:p>
      <w:pPr>
        <w:ind w:firstLine="7"/>
        <w:spacing w:after="0" w:line="277" w:lineRule="auto"/>
        <w:tabs>
          <w:tab w:leader="none" w:pos="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2" w:lineRule="exact"/>
        <w:rPr>
          <w:rFonts w:ascii="Times New Roman" w:cs="Times New Roman" w:eastAsia="Times New Roman" w:hAnsi="Times New Roman"/>
          <w:sz w:val="18"/>
          <w:szCs w:val="18"/>
          <w:color w:val="auto"/>
        </w:rPr>
      </w:pPr>
    </w:p>
    <w:p>
      <w:pPr>
        <w:jc w:val="both"/>
        <w:ind w:firstLine="7"/>
        <w:spacing w:after="0" w:line="252" w:lineRule="auto"/>
        <w:tabs>
          <w:tab w:leader="none" w:pos="23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86" w:lineRule="exact"/>
        <w:rPr>
          <w:rFonts w:ascii="Times New Roman" w:cs="Times New Roman" w:eastAsia="Times New Roman" w:hAnsi="Times New Roman"/>
          <w:sz w:val="18"/>
          <w:szCs w:val="18"/>
          <w:color w:val="auto"/>
        </w:rPr>
      </w:pPr>
    </w:p>
    <w:p>
      <w:pPr>
        <w:ind w:firstLine="7"/>
        <w:spacing w:after="0" w:line="277" w:lineRule="auto"/>
        <w:tabs>
          <w:tab w:leader="none" w:pos="25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Trustee Not Responsible for Recitals or Issuance of Securities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or any paying agent or Security Registrar, in its individual or any other capacity, may become the owner or pledgee of Securities with the same rights it would have if it were not Trustee, paying agent or Security Registrar.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Moneys Held in Trust</w:t>
      </w:r>
      <w:r>
        <w:rPr>
          <w:rFonts w:ascii="Times New Roman" w:cs="Times New Roman" w:eastAsia="Times New Roman" w:hAnsi="Times New Roman"/>
          <w:sz w:val="18"/>
          <w:szCs w:val="18"/>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0" w:lineRule="auto"/>
        <w:tabs>
          <w:tab w:leader="none" w:pos="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jc w:val="both"/>
        <w:ind w:firstLine="7"/>
        <w:spacing w:after="0" w:line="284" w:lineRule="auto"/>
        <w:tabs>
          <w:tab w:leader="none" w:pos="28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Reliance on Officers’ Certificate</w:t>
      </w:r>
      <w:r>
        <w:rPr>
          <w:rFonts w:ascii="Times New Roman" w:cs="Times New Roman" w:eastAsia="Times New Roman" w:hAnsi="Times New Roman"/>
          <w:sz w:val="18"/>
          <w:szCs w:val="18"/>
          <w:color w:val="auto"/>
        </w:rPr>
        <w:t>. 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 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SECTION 7.09 </w:t>
      </w:r>
      <w:r>
        <w:rPr>
          <w:rFonts w:ascii="Times New Roman" w:cs="Times New Roman" w:eastAsia="Times New Roman" w:hAnsi="Times New Roman"/>
          <w:sz w:val="17"/>
          <w:szCs w:val="17"/>
          <w:u w:val="single" w:color="auto"/>
          <w:color w:val="auto"/>
        </w:rPr>
        <w:t>Corporate Trustee Required; Eligibility</w:t>
      </w:r>
      <w:r>
        <w:rPr>
          <w:rFonts w:ascii="Times New Roman" w:cs="Times New Roman" w:eastAsia="Times New Roman" w:hAnsi="Times New Roman"/>
          <w:sz w:val="17"/>
          <w:szCs w:val="17"/>
          <w:color w:val="auto"/>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1" w:lineRule="auto"/>
        <w:tabs>
          <w:tab w:leader="none" w:pos="2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0" w:lineRule="exact"/>
        <w:rPr>
          <w:sz w:val="20"/>
          <w:szCs w:val="20"/>
          <w:color w:val="auto"/>
        </w:rPr>
      </w:pPr>
    </w:p>
    <w:p>
      <w:pPr>
        <w:ind w:firstLine="7"/>
        <w:spacing w:after="0" w:line="277" w:lineRule="auto"/>
        <w:tabs>
          <w:tab w:leader="none" w:pos="2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7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2" w:lineRule="exact"/>
        <w:rPr>
          <w:rFonts w:ascii="Times New Roman" w:cs="Times New Roman" w:eastAsia="Times New Roman" w:hAnsi="Times New Roman"/>
          <w:sz w:val="18"/>
          <w:szCs w:val="18"/>
          <w:color w:val="auto"/>
        </w:rPr>
      </w:pPr>
    </w:p>
    <w:p>
      <w:pPr>
        <w:jc w:val="both"/>
        <w:ind w:firstLine="7"/>
        <w:spacing w:after="0" w:line="251" w:lineRule="auto"/>
        <w:tabs>
          <w:tab w:leader="none" w:pos="25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ind w:firstLine="7"/>
        <w:spacing w:after="0" w:line="277" w:lineRule="auto"/>
        <w:tabs>
          <w:tab w:leader="none" w:pos="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5" w:lineRule="exact"/>
        <w:rPr>
          <w:rFonts w:ascii="Times New Roman" w:cs="Times New Roman" w:eastAsia="Times New Roman" w:hAnsi="Times New Roman"/>
          <w:sz w:val="18"/>
          <w:szCs w:val="18"/>
          <w:color w:val="auto"/>
        </w:rPr>
      </w:pPr>
    </w:p>
    <w:p>
      <w:pPr>
        <w:jc w:val="both"/>
        <w:ind w:firstLine="7"/>
        <w:spacing w:after="0" w:line="249" w:lineRule="auto"/>
        <w:tabs>
          <w:tab w:leader="none" w:pos="2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0" w:lineRule="exact"/>
        <w:rPr>
          <w:rFonts w:ascii="Times New Roman" w:cs="Times New Roman" w:eastAsia="Times New Roman" w:hAnsi="Times New Roman"/>
          <w:sz w:val="18"/>
          <w:szCs w:val="18"/>
          <w:color w:val="auto"/>
        </w:rPr>
      </w:pPr>
    </w:p>
    <w:p>
      <w:pPr>
        <w:ind w:firstLine="7"/>
        <w:spacing w:after="0" w:line="277" w:lineRule="auto"/>
        <w:tabs>
          <w:tab w:leader="none" w:pos="2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CONCERNING THE SECURITYHOLDERS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by Securityholders</w:t>
      </w:r>
      <w:r>
        <w:rPr>
          <w:rFonts w:ascii="Times New Roman" w:cs="Times New Roman" w:eastAsia="Times New Roman" w:hAnsi="Times New Roman"/>
          <w:sz w:val="18"/>
          <w:szCs w:val="18"/>
          <w:color w:val="auto"/>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76" w:lineRule="exact"/>
        <w:rPr>
          <w:sz w:val="20"/>
          <w:szCs w:val="20"/>
          <w:color w:val="auto"/>
        </w:rPr>
      </w:pPr>
    </w:p>
    <w:p>
      <w:pPr>
        <w:ind w:left="240" w:hanging="233"/>
        <w:spacing w:after="0"/>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w:t>
      </w:r>
    </w:p>
    <w:p>
      <w:pPr>
        <w:spacing w:after="0" w:line="219"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 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Binding on Future Securityholders</w:t>
      </w:r>
      <w:r>
        <w:rPr>
          <w:rFonts w:ascii="Times New Roman" w:cs="Times New Roman" w:eastAsia="Times New Roman" w:hAnsi="Times New Roman"/>
          <w:sz w:val="18"/>
          <w:szCs w:val="18"/>
          <w:color w:val="auto"/>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63" w:lineRule="exact"/>
        <w:rPr>
          <w:sz w:val="20"/>
          <w:szCs w:val="20"/>
          <w:color w:val="auto"/>
        </w:rPr>
      </w:pPr>
    </w:p>
    <w:p>
      <w:pPr>
        <w:jc w:val="both"/>
        <w:ind w:firstLine="7"/>
        <w:spacing w:after="0" w:line="254" w:lineRule="auto"/>
        <w:tabs>
          <w:tab w:leader="none" w:pos="2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85" w:lineRule="exact"/>
        <w:rPr>
          <w:rFonts w:ascii="Times New Roman" w:cs="Times New Roman" w:eastAsia="Times New Roman" w:hAnsi="Times New Roman"/>
          <w:sz w:val="18"/>
          <w:szCs w:val="18"/>
          <w:color w:val="auto"/>
        </w:rPr>
      </w:pPr>
    </w:p>
    <w:p>
      <w:pPr>
        <w:jc w:val="both"/>
        <w:ind w:firstLine="7"/>
        <w:spacing w:after="0" w:line="252" w:lineRule="auto"/>
        <w:tabs>
          <w:tab w:leader="none" w:pos="2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jc w:val="both"/>
        <w:spacing w:after="0" w:line="257" w:lineRule="auto"/>
        <w:rPr>
          <w:sz w:val="20"/>
          <w:szCs w:val="20"/>
          <w:color w:val="auto"/>
        </w:rPr>
      </w:pPr>
      <w:r>
        <w:rPr>
          <w:rFonts w:ascii="Times New Roman" w:cs="Times New Roman" w:eastAsia="Times New Roman" w:hAnsi="Times New Roman"/>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7" w:lineRule="auto"/>
        <w:tabs>
          <w:tab w:leader="none" w:pos="2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80" w:lineRule="exact"/>
        <w:rPr>
          <w:rFonts w:ascii="Times New Roman" w:cs="Times New Roman" w:eastAsia="Times New Roman" w:hAnsi="Times New Roman"/>
          <w:sz w:val="18"/>
          <w:szCs w:val="18"/>
          <w:color w:val="auto"/>
        </w:rPr>
      </w:pPr>
    </w:p>
    <w:p>
      <w:pPr>
        <w:jc w:val="both"/>
        <w:ind w:firstLine="7"/>
        <w:spacing w:after="0" w:line="254"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5" w:lineRule="exact"/>
        <w:rPr>
          <w:rFonts w:ascii="Times New Roman" w:cs="Times New Roman" w:eastAsia="Times New Roman" w:hAnsi="Times New Roman"/>
          <w:sz w:val="18"/>
          <w:szCs w:val="18"/>
          <w:color w:val="auto"/>
        </w:rPr>
      </w:pPr>
    </w:p>
    <w:p>
      <w:pPr>
        <w:jc w:val="both"/>
        <w:ind w:firstLine="7"/>
        <w:spacing w:after="0" w:line="257" w:lineRule="auto"/>
        <w:tabs>
          <w:tab w:leader="none" w:pos="24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80" w:lineRule="exact"/>
        <w:rPr>
          <w:rFonts w:ascii="Times New Roman" w:cs="Times New Roman" w:eastAsia="Times New Roman" w:hAnsi="Times New Roman"/>
          <w:sz w:val="18"/>
          <w:szCs w:val="18"/>
          <w:color w:val="auto"/>
        </w:rPr>
      </w:pPr>
    </w:p>
    <w:p>
      <w:pPr>
        <w:jc w:val="both"/>
        <w:ind w:firstLine="7"/>
        <w:spacing w:after="0" w:line="262" w:lineRule="auto"/>
        <w:tabs>
          <w:tab w:leader="none" w:pos="25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SECTION 9.01 </w:t>
      </w:r>
      <w:r>
        <w:rPr>
          <w:rFonts w:ascii="Times New Roman" w:cs="Times New Roman" w:eastAsia="Times New Roman" w:hAnsi="Times New Roman"/>
          <w:sz w:val="17"/>
          <w:szCs w:val="17"/>
          <w:u w:val="single" w:color="auto"/>
          <w:color w:val="auto"/>
        </w:rPr>
        <w:t>Supplemental Indentures Without the Consent of Securityholders</w:t>
      </w:r>
      <w:r>
        <w:rPr>
          <w:rFonts w:ascii="Times New Roman" w:cs="Times New Roman" w:eastAsia="Times New Roman" w:hAnsi="Times New Roman"/>
          <w:sz w:val="17"/>
          <w:szCs w:val="17"/>
          <w:color w:val="auto"/>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60" w:lineRule="exact"/>
        <w:rPr>
          <w:sz w:val="20"/>
          <w:szCs w:val="20"/>
          <w:color w:val="auto"/>
        </w:rPr>
      </w:pPr>
    </w:p>
    <w:p>
      <w:pPr>
        <w:jc w:val="both"/>
        <w:ind w:firstLine="7"/>
        <w:spacing w:after="0" w:line="262" w:lineRule="auto"/>
        <w:tabs>
          <w:tab w:leader="none" w:pos="2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ind w:left="260" w:hanging="253"/>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X;</w:t>
      </w:r>
    </w:p>
    <w:p>
      <w:pPr>
        <w:spacing w:after="0" w:line="219"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5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2"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5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7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the Commission in order to effect or maintain the qualification of this Indenture under the Trust Indenture Act.</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u w:val="single" w:color="auto"/>
          <w:color w:val="auto"/>
        </w:rPr>
        <w:t>Supplemental Indentures With Consent of Securityholders</w:t>
      </w:r>
      <w:r>
        <w:rPr>
          <w:rFonts w:ascii="Times New Roman" w:cs="Times New Roman" w:eastAsia="Times New Roman" w:hAnsi="Times New Roman"/>
          <w:sz w:val="17"/>
          <w:szCs w:val="17"/>
          <w:color w:val="auto"/>
        </w:rPr>
        <w:t>. 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w:t>
      </w:r>
    </w:p>
    <w:p>
      <w:pPr>
        <w:spacing w:after="0" w:line="5" w:lineRule="exact"/>
        <w:rPr>
          <w:sz w:val="20"/>
          <w:szCs w:val="20"/>
          <w:color w:val="auto"/>
        </w:rPr>
      </w:pPr>
    </w:p>
    <w:p>
      <w:pPr>
        <w:ind w:left="280" w:hanging="273"/>
        <w:spacing w:after="0"/>
        <w:tabs>
          <w:tab w:leader="none" w:pos="2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aforesaid percentage of Securities, the holders of which are required to consent to any such supplemental indenture, or any consent or waiver,</w:t>
      </w:r>
    </w:p>
    <w:p>
      <w:pPr>
        <w:spacing w:after="0" w:line="17" w:lineRule="exact"/>
        <w:rPr>
          <w:rFonts w:ascii="Times New Roman" w:cs="Times New Roman" w:eastAsia="Times New Roman" w:hAnsi="Times New Roman"/>
          <w:sz w:val="17"/>
          <w:szCs w:val="17"/>
          <w:color w:val="auto"/>
        </w:rPr>
      </w:pPr>
    </w:p>
    <w:p>
      <w:pPr>
        <w:ind w:firstLine="7"/>
        <w:spacing w:after="0" w:line="255" w:lineRule="auto"/>
        <w:tabs>
          <w:tab w:leader="none" w:pos="31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X</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SUCCESSOR ENTITY</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SECTION 10.01 </w:t>
      </w:r>
      <w:r>
        <w:rPr>
          <w:rFonts w:ascii="Times New Roman" w:cs="Times New Roman" w:eastAsia="Times New Roman" w:hAnsi="Times New Roman"/>
          <w:sz w:val="17"/>
          <w:szCs w:val="17"/>
          <w:u w:val="single" w:color="auto"/>
          <w:color w:val="auto"/>
        </w:rPr>
        <w:t>Company May Consolidate, Etc</w:t>
      </w:r>
      <w:r>
        <w:rPr>
          <w:rFonts w:ascii="Times New Roman" w:cs="Times New Roman" w:eastAsia="Times New Roman" w:hAnsi="Times New Roman"/>
          <w:sz w:val="17"/>
          <w:szCs w:val="17"/>
          <w:color w:val="auto"/>
        </w:rPr>
        <w:t>. 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5" w:lineRule="exact"/>
        <w:rPr>
          <w:rFonts w:ascii="Times New Roman" w:cs="Times New Roman" w:eastAsia="Times New Roman" w:hAnsi="Times New Roman"/>
          <w:sz w:val="18"/>
          <w:szCs w:val="18"/>
          <w:color w:val="auto"/>
        </w:rPr>
      </w:pPr>
    </w:p>
    <w:p>
      <w:pPr>
        <w:ind w:firstLine="7"/>
        <w:spacing w:after="0" w:line="277" w:lineRule="auto"/>
        <w:tabs>
          <w:tab w:leader="none" w:pos="26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24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Evidence of Consolidation, Etc. to Trustee</w:t>
      </w:r>
      <w:r>
        <w:rPr>
          <w:rFonts w:ascii="Times New Roman" w:cs="Times New Roman" w:eastAsia="Times New Roman" w:hAnsi="Times New Roman"/>
          <w:sz w:val="18"/>
          <w:szCs w:val="18"/>
          <w:color w:val="auto"/>
        </w:rPr>
        <w:t>. 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XI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Deposited Moneys to be Held in Trust</w:t>
      </w:r>
      <w:r>
        <w:rPr>
          <w:rFonts w:ascii="Times New Roman" w:cs="Times New Roman" w:eastAsia="Times New Roman" w:hAnsi="Times New Roman"/>
          <w:sz w:val="18"/>
          <w:szCs w:val="18"/>
          <w:color w:val="auto"/>
        </w:rPr>
        <w:t>. 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 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color w:val="auto"/>
        </w:rPr>
        <w:t>ARTICLE XII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IMMUNITY OF INCORPORATORS, SHAREHOLDERS, OFFICERS AND DIRECTORS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shareholders,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XIII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 All the covenants, stipulations, promises and agreements in this Indenture contained by or on behalf of the Company shall bind its successors and assigns, whether so expressed or not.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TMC the metals company Inc., Attn: [ ], 595 Howe Street, 10th Floor, Vancouver, British Columbia, Canada V6C 2T5.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and each Security shall be deemed to be a contract made under the internal laws of the State of New York, and for all purposes shall be construed in accordance with the laws of said State.</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spacing w:after="0" w:line="277"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Treatment of Securities as Debt</w:t>
      </w:r>
      <w:r>
        <w:rPr>
          <w:rFonts w:ascii="Times New Roman" w:cs="Times New Roman" w:eastAsia="Times New Roman" w:hAnsi="Times New Roman"/>
          <w:sz w:val="18"/>
          <w:szCs w:val="18"/>
          <w:color w:val="auto"/>
        </w:rPr>
        <w:t>. It is intended that the Securities will be treated as indebtedness and not as equity for federal income tax purposes. The provisions of this Indenture shall be interpreted to further this intention.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4"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5" w:lineRule="exact"/>
        <w:rPr>
          <w:rFonts w:ascii="Times New Roman" w:cs="Times New Roman" w:eastAsia="Times New Roman" w:hAnsi="Times New Roman"/>
          <w:sz w:val="18"/>
          <w:szCs w:val="18"/>
          <w:color w:val="auto"/>
        </w:rPr>
      </w:pPr>
    </w:p>
    <w:p>
      <w:pPr>
        <w:jc w:val="both"/>
        <w:ind w:firstLine="7"/>
        <w:spacing w:after="0" w:line="253" w:lineRule="auto"/>
        <w:tabs>
          <w:tab w:leader="none" w:pos="2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 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and to the extent that any provision of this Indenture limits, qualifies or conflicts with the duties imposed by Sections 310 to 317, inclusive, of the Trust Indenture Act, such imposed duties shall control.</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Indenture may be executed in any number of counterparts, each of which shall be an original, but such counterparts shall together constitute but one and the same instrument.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15875</wp:posOffset>
            </wp:positionV>
            <wp:extent cx="3279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As Trustee</w:t>
      </w: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15875</wp:posOffset>
            </wp:positionV>
            <wp:extent cx="3279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TMC THE METALS COMPANY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6" w:lineRule="exact"/>
        <w:rPr>
          <w:sz w:val="20"/>
          <w:szCs w:val="20"/>
          <w:color w:val="auto"/>
        </w:rPr>
      </w:pPr>
    </w:p>
    <w:p>
      <w:pPr>
        <w:ind w:left="5640" w:hanging="98"/>
        <w:spacing w:after="0"/>
        <w:tabs>
          <w:tab w:leader="none" w:pos="5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INDENTURE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Subordinated Debt Securities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TABLE(1)</w:t>
      </w:r>
    </w:p>
    <w:p>
      <w:pPr>
        <w:sectPr>
          <w:pgSz w:w="11900" w:h="16838" w:orient="portrait"/>
          <w:cols w:equalWidth="0" w:num="1">
            <w:col w:w="11240"/>
          </w:cols>
          <w:pgMar w:left="320" w:top="357" w:right="3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Indenture 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 1939,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34225" cy="152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310(a).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310(b).</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312(b).</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315(a).</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304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304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316(b).</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152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318(a).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7.09</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7.08</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7.10</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Inapplicable</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7.13(a)</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7.13(b)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Inapplicable</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5.02(a)</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5.02(b)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5.02(c)</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5.04(a)</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5.03</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Inapplicable</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13.06</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Inapplicable</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13.06</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Inapplicable</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7.01(a)</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7.02</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7.01(c)</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6.06</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8.04</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6.04</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8.01</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6.02</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4.03</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13.08</w:t>
      </w:r>
    </w:p>
    <w:p>
      <w:pPr>
        <w:spacing w:after="0" w:line="200" w:lineRule="exact"/>
        <w:rPr>
          <w:sz w:val="20"/>
          <w:szCs w:val="20"/>
          <w:color w:val="auto"/>
        </w:rPr>
      </w:pPr>
    </w:p>
    <w:p>
      <w:pPr>
        <w:sectPr>
          <w:pgSz w:w="11900" w:h="16838" w:orient="portrait"/>
          <w:cols w:equalWidth="0" w:num="2">
            <w:col w:w="9580" w:space="720"/>
            <w:col w:w="940"/>
          </w:cols>
          <w:pgMar w:left="320" w:top="357" w:right="339" w:bottom="1440" w:gutter="0" w:footer="0" w:header="0"/>
          <w:type w:val="continuous"/>
        </w:sectPr>
      </w:pPr>
    </w:p>
    <w:p>
      <w:pPr>
        <w:spacing w:after="0" w:line="20" w:lineRule="exact"/>
        <w:rPr>
          <w:sz w:val="20"/>
          <w:szCs w:val="20"/>
          <w:color w:val="auto"/>
        </w:rPr>
      </w:pPr>
    </w:p>
    <w:p>
      <w:pPr>
        <w:ind w:left="460" w:right="20" w:hanging="445"/>
        <w:spacing w:after="0" w:line="277"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p>
        </w:tc>
        <w:tc>
          <w:tcPr>
            <w:tcW w:w="94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w:t>
            </w:r>
          </w:p>
        </w:tc>
        <w:tc>
          <w:tcPr>
            <w:tcW w:w="9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8"/>
        </w:trPr>
        <w:tc>
          <w:tcPr>
            <w:tcW w:w="1360" w:type="dxa"/>
            <w:vAlign w:val="bottom"/>
            <w:vMerge w:val="continue"/>
          </w:tcPr>
          <w:p>
            <w:pPr>
              <w:spacing w:after="0"/>
              <w:rPr>
                <w:sz w:val="16"/>
                <w:szCs w:val="16"/>
                <w:color w:val="auto"/>
              </w:rPr>
            </w:pPr>
          </w:p>
        </w:tc>
        <w:tc>
          <w:tcPr>
            <w:tcW w:w="9440" w:type="dxa"/>
            <w:vAlign w:val="bottom"/>
            <w:vMerge w:val="continue"/>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 of Terms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 DESCRIPTION, TERMS, EXECUTION, REGISTRATION AND EXCHANGE OF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Temporary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of Indenture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Authenticating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Redemption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Upon Redemption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Sinking Fund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Paying Agents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93"/>
        </w:trPr>
        <w:tc>
          <w:tcPr>
            <w:tcW w:w="13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the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the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Suits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CONCERNING THE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Not Responsible for Recitals or Issuance of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Hold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Moneys Held in Trust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693"/>
        </w:trPr>
        <w:tc>
          <w:tcPr>
            <w:tcW w:w="14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2" w:right="3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CONCERNING THE SECURITYHOLDERS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Quorum; Action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ENTITY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to Company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IMMUNITY OF INCORPORATORS, SHAREHOLDERS, OFFICERS AND DIRECTORS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Recourse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MISCELLANEOUS PROVISIONS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 by Successor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Assignment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ARTICLE XIV</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SUBORDINATION OF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Subordination Terms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4" w:lineRule="exact"/>
        <w:rPr>
          <w:sz w:val="20"/>
          <w:szCs w:val="20"/>
          <w:color w:val="auto"/>
        </w:rPr>
      </w:pPr>
    </w:p>
    <w:p>
      <w:pPr>
        <w:ind w:left="460" w:hanging="445"/>
        <w:spacing w:after="0"/>
        <w:tabs>
          <w:tab w:leader="none" w:pos="4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of Contents does not constitute part of the Indenture and shall not have any bearing on the interpretation of any of its terms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446405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5" w:name="page96"/>
    <w:bookmarkEnd w:id="95"/>
    <w:p>
      <w:pPr>
        <w:jc w:val="both"/>
        <w:spacing w:after="0" w:line="277" w:lineRule="auto"/>
        <w:rPr>
          <w:sz w:val="20"/>
          <w:szCs w:val="20"/>
          <w:color w:val="auto"/>
        </w:rPr>
      </w:pPr>
      <w:r>
        <w:rPr>
          <w:rFonts w:ascii="Times New Roman" w:cs="Times New Roman" w:eastAsia="Times New Roman" w:hAnsi="Times New Roman"/>
          <w:sz w:val="18"/>
          <w:szCs w:val="18"/>
          <w:color w:val="auto"/>
        </w:rPr>
        <w:t>INDENTURE, dated as of [ ], by and between TMC the metals company Inc., a corporation existing under the laws of British Columbia, Canada (the “Company”), and [ ], as trustee (the “Trustee”):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WHEREAS, to provide the terms and conditions upon which the Securities are to be authenticated, issued and delivered, the Company has duly authorized the execution of this Indenture; 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 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 means Title 11, U.S. Code, or any similar federal or state law for the relief of debtors.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 or any duly authorized committee of such Board.</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means a certificate signed by the principal executive officer, the principal financial officer or the principal accounting officer of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 need not comply with the provisions of Section 13.07.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means the Securities and Exchange Commission.</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 means any receiver, trustee, assignee, liquidator, or similar official under any Bankruptcy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means an event which is, or after notice or lapse of time, or both, would constitute an Event of Default.</w:t>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“Event of Default” means, with respect to Securities of a particular series, any event specified in Section 6.01, continued for the period of time, if any, therein designated.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“herein,” “hereof” and “hereunder,” and other words of similar import, refer to this Indenture as a whole and not to any particular Article, Section or other subdivision.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jc w:val="both"/>
        <w:spacing w:after="0" w:line="277"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means the debt Securities authenticated and delivered under this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Register” has the meaning specified in Section 2.05.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Registrar” has the meaning specified in Section 2.05.</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 DESCRIPTION, TERMS, EXECUTION,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AND EXCHANGE OF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Terms of Securities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4" w:lineRule="auto"/>
        <w:tabs>
          <w:tab w:leader="none" w:pos="24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6" w:lineRule="exact"/>
        <w:rPr>
          <w:sz w:val="20"/>
          <w:szCs w:val="20"/>
          <w:color w:val="auto"/>
        </w:rPr>
      </w:pPr>
    </w:p>
    <w:p>
      <w:pPr>
        <w:ind w:left="260" w:hanging="253"/>
        <w:spacing w:after="0"/>
        <w:tabs>
          <w:tab w:leader="none" w:pos="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Security of the series (which shall distinguish the Securities of the series from all other Securities);</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27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8" w:name="page99"/>
    <w:bookmarkEnd w:id="98"/>
    <w:p>
      <w:pPr>
        <w:ind w:left="260" w:hanging="253"/>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and the place(s) of payment;</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7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to defer the payment of interest and the duration of such extension;</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0"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19"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3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3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6"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issuable as a Global Security and, in such case, the identity of the Depositary for such series;</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34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common shares or other securities of the Company and, if so, the terms and conditions upon which such Securities will be so convertible, including the conversion price and the conversion period;</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35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6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different Events of Default or restrictive covenants provided for with respect to the Securities of the series; and</w:t>
      </w:r>
    </w:p>
    <w:p>
      <w:pPr>
        <w:spacing w:after="0" w:line="219"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terms of the Securities of the series.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Securities and Trustee’s Certificate</w:t>
      </w:r>
      <w:r>
        <w:rPr>
          <w:rFonts w:ascii="Times New Roman" w:cs="Times New Roman" w:eastAsia="Times New Roman" w:hAnsi="Times New Roman"/>
          <w:sz w:val="18"/>
          <w:szCs w:val="18"/>
          <w:color w:val="auto"/>
        </w:rPr>
        <w:t>. 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Denominations: Provisions for Payment</w:t>
      </w:r>
      <w:r>
        <w:rPr>
          <w:rFonts w:ascii="Times New Roman" w:cs="Times New Roman" w:eastAsia="Times New Roman" w:hAnsi="Times New Roman"/>
          <w:sz w:val="18"/>
          <w:szCs w:val="18"/>
          <w:color w:val="auto"/>
        </w:rPr>
        <w:t>. 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655"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7"/>
        <w:spacing w:after="0" w:line="249" w:lineRule="auto"/>
        <w:tabs>
          <w:tab w:leader="none" w:pos="2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97" w:lineRule="exact"/>
        <w:rPr>
          <w:rFonts w:ascii="Times New Roman" w:cs="Times New Roman" w:eastAsia="Times New Roman" w:hAnsi="Times New Roman"/>
          <w:sz w:val="18"/>
          <w:szCs w:val="18"/>
          <w:color w:val="auto"/>
        </w:rPr>
      </w:pPr>
    </w:p>
    <w:p>
      <w:pPr>
        <w:jc w:val="both"/>
        <w:ind w:firstLine="7"/>
        <w:spacing w:after="0" w:line="262" w:lineRule="auto"/>
        <w:tabs>
          <w:tab w:leader="none" w:pos="2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Execution and Authentications</w:t>
      </w:r>
      <w:r>
        <w:rPr>
          <w:rFonts w:ascii="Times New Roman" w:cs="Times New Roman" w:eastAsia="Times New Roman" w:hAnsi="Times New Roman"/>
          <w:sz w:val="18"/>
          <w:szCs w:val="18"/>
          <w:color w:val="auto"/>
        </w:rPr>
        <w:t>. 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securities exchange rule or usage. Each Security shall be dated the date of its authentication.</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jc w:val="both"/>
        <w:spacing w:after="0" w:line="252" w:lineRule="auto"/>
        <w:rPr>
          <w:sz w:val="20"/>
          <w:szCs w:val="20"/>
          <w:color w:val="auto"/>
        </w:rPr>
      </w:pPr>
      <w:r>
        <w:rPr>
          <w:rFonts w:ascii="Times New Roman" w:cs="Times New Roman" w:eastAsia="Times New Roman" w:hAnsi="Times New Roman"/>
          <w:sz w:val="18"/>
          <w:szCs w:val="18"/>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Registration of Transfer and Exchange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5" w:lineRule="exact"/>
        <w:rPr>
          <w:rFonts w:ascii="Times New Roman" w:cs="Times New Roman" w:eastAsia="Times New Roman" w:hAnsi="Times New Roman"/>
          <w:sz w:val="18"/>
          <w:szCs w:val="18"/>
          <w:color w:val="auto"/>
        </w:rPr>
      </w:pPr>
    </w:p>
    <w:p>
      <w:pPr>
        <w:jc w:val="both"/>
        <w:ind w:firstLine="7"/>
        <w:spacing w:after="0" w:line="254" w:lineRule="auto"/>
        <w:tabs>
          <w:tab w:leader="none" w:pos="2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7"/>
        <w:spacing w:after="0" w:line="262" w:lineRule="auto"/>
        <w:tabs>
          <w:tab w:leader="none" w:pos="2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Mutilated, Destroyed, Lost or Stolen Securities</w:t>
      </w:r>
      <w:r>
        <w:rPr>
          <w:rFonts w:ascii="Times New Roman" w:cs="Times New Roman" w:eastAsia="Times New Roman" w:hAnsi="Times New Roman"/>
          <w:sz w:val="18"/>
          <w:szCs w:val="18"/>
          <w:color w:val="auto"/>
        </w:rPr>
        <w:t>.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2" w:name="page103"/>
    <w:bookmarkEnd w:id="102"/>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2" w:lineRule="auto"/>
        <w:tabs>
          <w:tab w:leader="none" w:pos="2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6" w:lineRule="exact"/>
        <w:rPr>
          <w:rFonts w:ascii="Times New Roman" w:cs="Times New Roman" w:eastAsia="Times New Roman" w:hAnsi="Times New Roman"/>
          <w:sz w:val="18"/>
          <w:szCs w:val="18"/>
          <w:color w:val="auto"/>
        </w:rPr>
      </w:pPr>
    </w:p>
    <w:p>
      <w:pPr>
        <w:jc w:val="both"/>
        <w:ind w:firstLine="7"/>
        <w:spacing w:after="0" w:line="262" w:lineRule="auto"/>
        <w:tabs>
          <w:tab w:leader="none" w:pos="2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6" w:lineRule="exact"/>
        <w:rPr>
          <w:rFonts w:ascii="Times New Roman" w:cs="Times New Roman" w:eastAsia="Times New Roman" w:hAnsi="Times New Roman"/>
          <w:sz w:val="18"/>
          <w:szCs w:val="18"/>
          <w:color w:val="auto"/>
        </w:rPr>
      </w:pPr>
    </w:p>
    <w:p>
      <w:pPr>
        <w:jc w:val="both"/>
        <w:ind w:firstLine="7"/>
        <w:spacing w:after="0" w:line="249" w:lineRule="auto"/>
        <w:tabs>
          <w:tab w:leader="none" w:pos="24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OF SECURITIES AND SINKING FUND PROVISIONS</w:t>
      </w:r>
    </w:p>
    <w:p>
      <w:pPr>
        <w:spacing w:after="0" w:line="20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Company may redeem the Securities of any series issued hereunder on and after the dates and in accordance with the terms established for such series pursuant to Section 2.01 hereof.</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67" w:lineRule="auto"/>
        <w:tabs>
          <w:tab w:leader="none" w:pos="25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90" w:lineRule="exact"/>
        <w:rPr>
          <w:sz w:val="20"/>
          <w:szCs w:val="20"/>
          <w:color w:val="auto"/>
        </w:rPr>
      </w:pPr>
    </w:p>
    <w:p>
      <w:pPr>
        <w:jc w:val="both"/>
        <w:ind w:firstLine="7"/>
        <w:spacing w:after="0" w:line="250" w:lineRule="auto"/>
        <w:tabs>
          <w:tab w:leader="none" w:pos="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Payment Upon Redemption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1" w:lineRule="auto"/>
        <w:tabs>
          <w:tab w:leader="none" w:pos="25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89" w:lineRule="exact"/>
        <w:rPr>
          <w:rFonts w:ascii="Times New Roman" w:cs="Times New Roman" w:eastAsia="Times New Roman" w:hAnsi="Times New Roman"/>
          <w:sz w:val="18"/>
          <w:szCs w:val="18"/>
          <w:color w:val="auto"/>
        </w:rPr>
      </w:pPr>
    </w:p>
    <w:p>
      <w:pPr>
        <w:jc w:val="both"/>
        <w:ind w:firstLine="7"/>
        <w:spacing w:after="0" w:line="262" w:lineRule="auto"/>
        <w:tabs>
          <w:tab w:leader="none" w:pos="2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 The provisions of Sections 3.04, 3.05 and 3.06 shall be applicable to any sinking fund for the retirement of Securities of a series, except as otherwise specified as contemplated by Section 2.01 for Securities of such series.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IV</w:t>
      </w:r>
    </w:p>
    <w:p>
      <w:pPr>
        <w:spacing w:after="0" w:line="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COVENANTS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 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4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63" w:lineRule="exact"/>
        <w:rPr>
          <w:sz w:val="20"/>
          <w:szCs w:val="20"/>
          <w:color w:val="auto"/>
        </w:rPr>
      </w:pPr>
    </w:p>
    <w:p>
      <w:pPr>
        <w:ind w:firstLine="7"/>
        <w:spacing w:after="0" w:line="277" w:lineRule="auto"/>
        <w:tabs>
          <w:tab w:leader="none" w:pos="2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ind w:firstLine="7"/>
        <w:spacing w:after="0" w:line="277" w:lineRule="auto"/>
        <w:tabs>
          <w:tab w:leader="none" w:pos="2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0" w:lineRule="exact"/>
        <w:rPr>
          <w:sz w:val="20"/>
          <w:szCs w:val="20"/>
          <w:color w:val="auto"/>
        </w:rPr>
      </w:pPr>
    </w:p>
    <w:p>
      <w:pPr>
        <w:jc w:val="both"/>
        <w:ind w:firstLine="7"/>
        <w:spacing w:after="0" w:line="251" w:lineRule="auto"/>
        <w:tabs>
          <w:tab w:leader="none" w:pos="2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9" w:lineRule="exact"/>
        <w:rPr>
          <w:rFonts w:ascii="Times New Roman" w:cs="Times New Roman" w:eastAsia="Times New Roman" w:hAnsi="Times New Roman"/>
          <w:sz w:val="18"/>
          <w:szCs w:val="18"/>
          <w:color w:val="auto"/>
        </w:rPr>
      </w:pPr>
    </w:p>
    <w:p>
      <w:pPr>
        <w:jc w:val="both"/>
        <w:ind w:firstLine="7"/>
        <w:spacing w:after="0" w:line="254" w:lineRule="auto"/>
        <w:tabs>
          <w:tab w:leader="none" w:pos="24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Appointment to Fill Vacancy in Office of Trustee</w:t>
      </w:r>
      <w:r>
        <w:rPr>
          <w:rFonts w:ascii="Times New Roman" w:cs="Times New Roman" w:eastAsia="Times New Roman" w:hAnsi="Times New Roman"/>
          <w:sz w:val="18"/>
          <w:szCs w:val="18"/>
          <w:color w:val="auto"/>
        </w:rPr>
        <w:t>. The Company, whenever necessary to avoid or fill a vacancy in the office of Trustee, will appoint, in the manner provided in Section 7.10, a Trustee, so that there shall at all times be a Trustee hereunder.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with Consolidation Provisions</w:t>
      </w:r>
      <w:r>
        <w:rPr>
          <w:rFonts w:ascii="Times New Roman" w:cs="Times New Roman" w:eastAsia="Times New Roman" w:hAnsi="Times New Roman"/>
          <w:sz w:val="18"/>
          <w:szCs w:val="18"/>
          <w:color w:val="auto"/>
        </w:rPr>
        <w:t>. 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SECURITYHOLDERS’ LISTS AND REPORTS BY THE COMPANY AND THE TRUSTEE</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Company to Furnish Trustee Names and Addresses of Securityholders</w:t>
      </w:r>
      <w:r>
        <w:rPr>
          <w:rFonts w:ascii="Times New Roman" w:cs="Times New Roman" w:eastAsia="Times New Roman" w:hAnsi="Times New Roman"/>
          <w:sz w:val="18"/>
          <w:szCs w:val="18"/>
          <w:color w:val="auto"/>
        </w:rPr>
        <w:t>. 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Preservation of Information; Communications with Securityholders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62" w:lineRule="auto"/>
        <w:tabs>
          <w:tab w:leader="none" w:pos="2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7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25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87" w:lineRule="exact"/>
        <w:rPr>
          <w:sz w:val="20"/>
          <w:szCs w:val="20"/>
          <w:color w:val="auto"/>
        </w:rPr>
      </w:pPr>
    </w:p>
    <w:p>
      <w:pPr>
        <w:jc w:val="both"/>
        <w:ind w:firstLine="7"/>
        <w:spacing w:after="0" w:line="262" w:lineRule="auto"/>
        <w:tabs>
          <w:tab w:leader="none" w:pos="25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4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if required by Section 313 of the Trust Indenture Act, also with the Commission. The Company agrees to notify the Trustee when any Securities become listed on any securities exchange.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REMEDIES OF THE TRUSTEE AND SECURITYHOLDERS ON EVENT OF DEFAULT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6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3" w:lineRule="exact"/>
        <w:rPr>
          <w:sz w:val="20"/>
          <w:szCs w:val="20"/>
          <w:color w:val="auto"/>
        </w:rPr>
      </w:pPr>
    </w:p>
    <w:p>
      <w:pPr>
        <w:jc w:val="both"/>
        <w:ind w:firstLine="7"/>
        <w:spacing w:after="0" w:line="262" w:lineRule="auto"/>
        <w:tabs>
          <w:tab w:leader="none" w:pos="25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0" w:lineRule="exact"/>
        <w:rPr>
          <w:rFonts w:ascii="Times New Roman" w:cs="Times New Roman" w:eastAsia="Times New Roman" w:hAnsi="Times New Roman"/>
          <w:sz w:val="18"/>
          <w:szCs w:val="18"/>
          <w:color w:val="auto"/>
        </w:rPr>
      </w:pPr>
    </w:p>
    <w:p>
      <w:pPr>
        <w:jc w:val="both"/>
        <w:ind w:firstLine="7"/>
        <w:spacing w:after="0" w:line="253" w:lineRule="auto"/>
        <w:tabs>
          <w:tab w:leader="none" w:pos="2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85" w:lineRule="exact"/>
        <w:rPr>
          <w:rFonts w:ascii="Times New Roman" w:cs="Times New Roman" w:eastAsia="Times New Roman" w:hAnsi="Times New Roman"/>
          <w:sz w:val="18"/>
          <w:szCs w:val="18"/>
          <w:color w:val="auto"/>
        </w:rPr>
      </w:pPr>
    </w:p>
    <w:p>
      <w:pPr>
        <w:jc w:val="both"/>
        <w:ind w:firstLine="7"/>
        <w:spacing w:after="0" w:line="262" w:lineRule="auto"/>
        <w:tabs>
          <w:tab w:leader="none" w:pos="26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7" w:name="page108"/>
    <w:bookmarkEnd w:id="107"/>
    <w:p>
      <w:pPr>
        <w:jc w:val="both"/>
        <w:ind w:firstLine="7"/>
        <w:spacing w:after="0" w:line="262" w:lineRule="auto"/>
        <w:tabs>
          <w:tab w:leader="none" w:pos="25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76" w:lineRule="exact"/>
        <w:rPr>
          <w:sz w:val="20"/>
          <w:szCs w:val="20"/>
          <w:color w:val="auto"/>
        </w:rPr>
      </w:pPr>
    </w:p>
    <w:p>
      <w:pPr>
        <w:jc w:val="both"/>
        <w:ind w:firstLine="7"/>
        <w:spacing w:after="0" w:line="251" w:lineRule="auto"/>
        <w:tabs>
          <w:tab w:leader="none" w:pos="2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spacing w:after="0" w:line="189" w:lineRule="exact"/>
        <w:rPr>
          <w:rFonts w:ascii="Times New Roman" w:cs="Times New Roman" w:eastAsia="Times New Roman" w:hAnsi="Times New Roman"/>
          <w:sz w:val="18"/>
          <w:szCs w:val="18"/>
          <w:color w:val="auto"/>
        </w:rPr>
      </w:pPr>
    </w:p>
    <w:p>
      <w:pPr>
        <w:jc w:val="both"/>
        <w:ind w:firstLine="7"/>
        <w:spacing w:after="0" w:line="250" w:lineRule="auto"/>
        <w:tabs>
          <w:tab w:leader="none" w:pos="25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92" w:lineRule="exact"/>
        <w:rPr>
          <w:rFonts w:ascii="Times New Roman" w:cs="Times New Roman" w:eastAsia="Times New Roman" w:hAnsi="Times New Roman"/>
          <w:sz w:val="18"/>
          <w:szCs w:val="18"/>
          <w:color w:val="auto"/>
        </w:rPr>
      </w:pPr>
    </w:p>
    <w:p>
      <w:pPr>
        <w:jc w:val="both"/>
        <w:ind w:firstLine="7"/>
        <w:spacing w:after="0" w:line="254" w:lineRule="auto"/>
        <w:tabs>
          <w:tab w:leader="none" w:pos="2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1" w:lineRule="auto"/>
        <w:tabs>
          <w:tab w:leader="none" w:pos="24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6" w:lineRule="exact"/>
        <w:rPr>
          <w:rFonts w:ascii="Times New Roman" w:cs="Times New Roman" w:eastAsia="Times New Roman" w:hAnsi="Times New Roman"/>
          <w:sz w:val="18"/>
          <w:szCs w:val="18"/>
          <w:color w:val="auto"/>
        </w:rPr>
      </w:pPr>
    </w:p>
    <w:p>
      <w:pPr>
        <w:jc w:val="both"/>
        <w:ind w:firstLine="7"/>
        <w:spacing w:after="0" w:line="254" w:lineRule="auto"/>
        <w:tabs>
          <w:tab w:leader="none" w:pos="27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p>
      <w:pPr>
        <w:jc w:val="both"/>
        <w:ind w:firstLine="7"/>
        <w:spacing w:after="0" w:line="251" w:lineRule="auto"/>
        <w:tabs>
          <w:tab w:leader="none" w:pos="2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6" w:lineRule="exact"/>
        <w:rPr>
          <w:rFonts w:ascii="Times New Roman" w:cs="Times New Roman" w:eastAsia="Times New Roman" w:hAnsi="Times New Roman"/>
          <w:sz w:val="18"/>
          <w:szCs w:val="18"/>
          <w:color w:val="auto"/>
        </w:rPr>
      </w:pPr>
    </w:p>
    <w:p>
      <w:pPr>
        <w:jc w:val="both"/>
        <w:ind w:firstLine="7"/>
        <w:spacing w:after="0" w:line="257" w:lineRule="auto"/>
        <w:tabs>
          <w:tab w:leader="none" w:pos="25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To the payment of all Senior Indebtedness of the Company if and to the extent required by Article XIV; and</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THIRD: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Rights and Remedies Cumulative; Delay or Omission Not Waiver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7" w:lineRule="auto"/>
        <w:tabs>
          <w:tab w:leader="none" w:pos="25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0" w:lineRule="exact"/>
        <w:rPr>
          <w:rFonts w:ascii="Times New Roman" w:cs="Times New Roman" w:eastAsia="Times New Roman" w:hAnsi="Times New Roman"/>
          <w:sz w:val="18"/>
          <w:szCs w:val="18"/>
          <w:color w:val="auto"/>
        </w:rPr>
      </w:pPr>
    </w:p>
    <w:p>
      <w:pPr>
        <w:jc w:val="both"/>
        <w:ind w:firstLine="7"/>
        <w:spacing w:after="0" w:line="257" w:lineRule="auto"/>
        <w:tabs>
          <w:tab w:leader="none" w:pos="2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 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CONCERNING THE TRUSTEE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Certain Duties and Responsibilities of Trustee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5" w:lineRule="exact"/>
        <w:rPr>
          <w:rFonts w:ascii="Times New Roman" w:cs="Times New Roman" w:eastAsia="Times New Roman" w:hAnsi="Times New Roman"/>
          <w:sz w:val="18"/>
          <w:szCs w:val="18"/>
          <w:color w:val="auto"/>
        </w:rPr>
      </w:pPr>
    </w:p>
    <w:p>
      <w:pPr>
        <w:ind w:firstLine="7"/>
        <w:spacing w:after="0" w:line="277" w:lineRule="auto"/>
        <w:tabs>
          <w:tab w:leader="none" w:pos="26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3" w:lineRule="exact"/>
        <w:rPr>
          <w:sz w:val="20"/>
          <w:szCs w:val="20"/>
          <w:color w:val="auto"/>
        </w:rPr>
      </w:pPr>
    </w:p>
    <w:p>
      <w:pPr>
        <w:ind w:firstLine="7"/>
        <w:spacing w:after="0" w:line="277" w:lineRule="auto"/>
        <w:tabs>
          <w:tab w:leader="none" w:pos="25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3" w:lineRule="exact"/>
        <w:rPr>
          <w:sz w:val="20"/>
          <w:szCs w:val="20"/>
          <w:color w:val="auto"/>
        </w:rPr>
      </w:pPr>
    </w:p>
    <w:p>
      <w:pPr>
        <w:jc w:val="both"/>
        <w:ind w:firstLine="7"/>
        <w:spacing w:after="0" w:line="262" w:lineRule="auto"/>
        <w:tabs>
          <w:tab w:leader="none" w:pos="21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6" w:lineRule="exact"/>
        <w:rPr>
          <w:rFonts w:ascii="Times New Roman" w:cs="Times New Roman" w:eastAsia="Times New Roman" w:hAnsi="Times New Roman"/>
          <w:sz w:val="18"/>
          <w:szCs w:val="18"/>
          <w:color w:val="auto"/>
        </w:rPr>
      </w:pPr>
    </w:p>
    <w:p>
      <w:pPr>
        <w:jc w:val="both"/>
        <w:ind w:firstLine="7"/>
        <w:spacing w:after="0" w:line="257" w:lineRule="auto"/>
        <w:tabs>
          <w:tab w:leader="none" w:pos="26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81" w:lineRule="exact"/>
        <w:rPr>
          <w:sz w:val="20"/>
          <w:szCs w:val="20"/>
          <w:color w:val="auto"/>
        </w:rPr>
      </w:pPr>
    </w:p>
    <w:p>
      <w:pPr>
        <w:ind w:firstLine="7"/>
        <w:spacing w:after="0" w:line="277" w:lineRule="auto"/>
        <w:tabs>
          <w:tab w:leader="none" w:pos="25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0" w:lineRule="exact"/>
        <w:rPr>
          <w:rFonts w:ascii="Times New Roman" w:cs="Times New Roman" w:eastAsia="Times New Roman" w:hAnsi="Times New Roman"/>
          <w:sz w:val="18"/>
          <w:szCs w:val="18"/>
          <w:color w:val="auto"/>
        </w:rPr>
      </w:pPr>
    </w:p>
    <w:p>
      <w:pPr>
        <w:jc w:val="both"/>
        <w:ind w:firstLine="7"/>
        <w:spacing w:after="0" w:line="262" w:lineRule="auto"/>
        <w:tabs>
          <w:tab w:leader="none" w:pos="25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Except as otherwise provided in Section 7.01:</w:t>
      </w:r>
    </w:p>
    <w:p>
      <w:pPr>
        <w:spacing w:after="0" w:line="220" w:lineRule="exact"/>
        <w:rPr>
          <w:sz w:val="20"/>
          <w:szCs w:val="20"/>
          <w:color w:val="auto"/>
        </w:rPr>
      </w:pPr>
    </w:p>
    <w:p>
      <w:pPr>
        <w:jc w:val="both"/>
        <w:ind w:firstLine="7"/>
        <w:spacing w:after="0" w:line="262" w:lineRule="auto"/>
        <w:tabs>
          <w:tab w:leader="none" w:pos="25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p>
      <w:pPr>
        <w:ind w:firstLine="7"/>
        <w:spacing w:after="0" w:line="277" w:lineRule="auto"/>
        <w:tabs>
          <w:tab w:leader="none" w:pos="2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62" w:lineRule="exact"/>
        <w:rPr>
          <w:rFonts w:ascii="Times New Roman" w:cs="Times New Roman" w:eastAsia="Times New Roman" w:hAnsi="Times New Roman"/>
          <w:sz w:val="18"/>
          <w:szCs w:val="18"/>
          <w:color w:val="auto"/>
        </w:rPr>
      </w:pPr>
    </w:p>
    <w:p>
      <w:pPr>
        <w:jc w:val="both"/>
        <w:ind w:firstLine="7"/>
        <w:spacing w:after="0" w:line="253" w:lineRule="auto"/>
        <w:tabs>
          <w:tab w:leader="none" w:pos="25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85" w:lineRule="exact"/>
        <w:rPr>
          <w:rFonts w:ascii="Times New Roman" w:cs="Times New Roman" w:eastAsia="Times New Roman" w:hAnsi="Times New Roman"/>
          <w:sz w:val="18"/>
          <w:szCs w:val="18"/>
          <w:color w:val="auto"/>
        </w:rPr>
      </w:pPr>
    </w:p>
    <w:p>
      <w:pPr>
        <w:ind w:firstLine="7"/>
        <w:spacing w:after="0" w:line="277" w:lineRule="auto"/>
        <w:tabs>
          <w:tab w:leader="none" w:pos="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2" w:lineRule="exact"/>
        <w:rPr>
          <w:rFonts w:ascii="Times New Roman" w:cs="Times New Roman" w:eastAsia="Times New Roman" w:hAnsi="Times New Roman"/>
          <w:sz w:val="18"/>
          <w:szCs w:val="18"/>
          <w:color w:val="auto"/>
        </w:rPr>
      </w:pPr>
    </w:p>
    <w:p>
      <w:pPr>
        <w:jc w:val="both"/>
        <w:ind w:firstLine="7"/>
        <w:spacing w:after="0" w:line="252" w:lineRule="auto"/>
        <w:tabs>
          <w:tab w:leader="none" w:pos="23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86" w:lineRule="exact"/>
        <w:rPr>
          <w:rFonts w:ascii="Times New Roman" w:cs="Times New Roman" w:eastAsia="Times New Roman" w:hAnsi="Times New Roman"/>
          <w:sz w:val="18"/>
          <w:szCs w:val="18"/>
          <w:color w:val="auto"/>
        </w:rPr>
      </w:pPr>
    </w:p>
    <w:p>
      <w:pPr>
        <w:ind w:firstLine="7"/>
        <w:spacing w:after="0" w:line="277" w:lineRule="auto"/>
        <w:tabs>
          <w:tab w:leader="none" w:pos="25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Trustee Not Responsible for Recitals or Issuance of Securities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7"/>
        <w:spacing w:after="0" w:line="277" w:lineRule="auto"/>
        <w:tabs>
          <w:tab w:leader="none" w:pos="2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2"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or any paying agent or Security Registrar, in its individual or any other capacity, may become the owner or pledgee of Securities with the same rights it would have if it were not Trustee, paying agent or Security Registrar.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Moneys Held in Trust</w:t>
      </w:r>
      <w:r>
        <w:rPr>
          <w:rFonts w:ascii="Times New Roman" w:cs="Times New Roman" w:eastAsia="Times New Roman" w:hAnsi="Times New Roman"/>
          <w:sz w:val="18"/>
          <w:szCs w:val="18"/>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0" w:lineRule="auto"/>
        <w:tabs>
          <w:tab w:leader="none" w:pos="24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jc w:val="both"/>
        <w:ind w:firstLine="7"/>
        <w:spacing w:after="0" w:line="284" w:lineRule="auto"/>
        <w:tabs>
          <w:tab w:leader="none" w:pos="28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Reliance on Officers’ Certificate</w:t>
      </w:r>
      <w:r>
        <w:rPr>
          <w:rFonts w:ascii="Times New Roman" w:cs="Times New Roman" w:eastAsia="Times New Roman" w:hAnsi="Times New Roman"/>
          <w:sz w:val="18"/>
          <w:szCs w:val="18"/>
          <w:color w:val="auto"/>
        </w:rPr>
        <w:t>. 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 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SECTION 7.09 </w:t>
      </w:r>
      <w:r>
        <w:rPr>
          <w:rFonts w:ascii="Times New Roman" w:cs="Times New Roman" w:eastAsia="Times New Roman" w:hAnsi="Times New Roman"/>
          <w:sz w:val="17"/>
          <w:szCs w:val="17"/>
          <w:u w:val="single" w:color="auto"/>
          <w:color w:val="auto"/>
        </w:rPr>
        <w:t>Corporate Trustee Required; Eligibility</w:t>
      </w:r>
      <w:r>
        <w:rPr>
          <w:rFonts w:ascii="Times New Roman" w:cs="Times New Roman" w:eastAsia="Times New Roman" w:hAnsi="Times New Roman"/>
          <w:sz w:val="17"/>
          <w:szCs w:val="17"/>
          <w:color w:val="auto"/>
        </w:rPr>
        <w:t>.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1" w:lineRule="auto"/>
        <w:tabs>
          <w:tab w:leader="none" w:pos="25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0" w:lineRule="exact"/>
        <w:rPr>
          <w:sz w:val="20"/>
          <w:szCs w:val="20"/>
          <w:color w:val="auto"/>
        </w:rPr>
      </w:pPr>
    </w:p>
    <w:p>
      <w:pPr>
        <w:ind w:firstLine="7"/>
        <w:spacing w:after="0" w:line="277" w:lineRule="auto"/>
        <w:tabs>
          <w:tab w:leader="none" w:pos="2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7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2" w:lineRule="exact"/>
        <w:rPr>
          <w:rFonts w:ascii="Times New Roman" w:cs="Times New Roman" w:eastAsia="Times New Roman" w:hAnsi="Times New Roman"/>
          <w:sz w:val="18"/>
          <w:szCs w:val="18"/>
          <w:color w:val="auto"/>
        </w:rPr>
      </w:pPr>
    </w:p>
    <w:p>
      <w:pPr>
        <w:jc w:val="both"/>
        <w:ind w:firstLine="7"/>
        <w:spacing w:after="0" w:line="251" w:lineRule="auto"/>
        <w:tabs>
          <w:tab w:leader="none" w:pos="25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3" w:name="page114"/>
    <w:bookmarkEnd w:id="113"/>
    <w:p>
      <w:pPr>
        <w:ind w:firstLine="7"/>
        <w:spacing w:after="0" w:line="277" w:lineRule="auto"/>
        <w:tabs>
          <w:tab w:leader="none" w:pos="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7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3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7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5" w:lineRule="exact"/>
        <w:rPr>
          <w:rFonts w:ascii="Times New Roman" w:cs="Times New Roman" w:eastAsia="Times New Roman" w:hAnsi="Times New Roman"/>
          <w:sz w:val="18"/>
          <w:szCs w:val="18"/>
          <w:color w:val="auto"/>
        </w:rPr>
      </w:pPr>
    </w:p>
    <w:p>
      <w:pPr>
        <w:jc w:val="both"/>
        <w:ind w:firstLine="7"/>
        <w:spacing w:after="0" w:line="249" w:lineRule="auto"/>
        <w:tabs>
          <w:tab w:leader="none" w:pos="2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0" w:lineRule="exact"/>
        <w:rPr>
          <w:rFonts w:ascii="Times New Roman" w:cs="Times New Roman" w:eastAsia="Times New Roman" w:hAnsi="Times New Roman"/>
          <w:sz w:val="18"/>
          <w:szCs w:val="18"/>
          <w:color w:val="auto"/>
        </w:rPr>
      </w:pPr>
    </w:p>
    <w:p>
      <w:pPr>
        <w:ind w:firstLine="7"/>
        <w:spacing w:after="0" w:line="277" w:lineRule="auto"/>
        <w:tabs>
          <w:tab w:leader="none" w:pos="2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rFonts w:ascii="Times New Roman" w:cs="Times New Roman" w:eastAsia="Times New Roman" w:hAnsi="Times New Roman"/>
          <w:sz w:val="18"/>
          <w:szCs w:val="18"/>
          <w:color w:val="auto"/>
        </w:rPr>
      </w:pPr>
    </w:p>
    <w:p>
      <w:pPr>
        <w:jc w:val="both"/>
        <w:ind w:firstLine="7"/>
        <w:spacing w:after="0" w:line="257" w:lineRule="auto"/>
        <w:tabs>
          <w:tab w:leader="none" w:pos="2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CONCERNING THE SECURITYHOLDERS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by Securityholders</w:t>
      </w:r>
      <w:r>
        <w:rPr>
          <w:rFonts w:ascii="Times New Roman" w:cs="Times New Roman" w:eastAsia="Times New Roman" w:hAnsi="Times New Roman"/>
          <w:sz w:val="18"/>
          <w:szCs w:val="18"/>
          <w:color w:val="auto"/>
        </w:rPr>
        <w:t>.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76" w:lineRule="exact"/>
        <w:rPr>
          <w:sz w:val="20"/>
          <w:szCs w:val="20"/>
          <w:color w:val="auto"/>
        </w:rPr>
      </w:pPr>
    </w:p>
    <w:p>
      <w:pPr>
        <w:ind w:left="240" w:hanging="233"/>
        <w:spacing w:after="0"/>
        <w:tabs>
          <w:tab w:leader="none" w:pos="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1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w:t>
      </w:r>
    </w:p>
    <w:p>
      <w:pPr>
        <w:spacing w:after="0" w:line="219"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5" w:name="page116"/>
    <w:bookmarkEnd w:id="115"/>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 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Binding on Future Securityholders</w:t>
      </w:r>
      <w:r>
        <w:rPr>
          <w:rFonts w:ascii="Times New Roman" w:cs="Times New Roman" w:eastAsia="Times New Roman" w:hAnsi="Times New Roman"/>
          <w:sz w:val="18"/>
          <w:szCs w:val="18"/>
          <w:color w:val="auto"/>
        </w:rPr>
        <w:t>.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4" w:lineRule="auto"/>
        <w:tabs>
          <w:tab w:leader="none" w:pos="24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85" w:lineRule="exact"/>
        <w:rPr>
          <w:rFonts w:ascii="Times New Roman" w:cs="Times New Roman" w:eastAsia="Times New Roman" w:hAnsi="Times New Roman"/>
          <w:sz w:val="18"/>
          <w:szCs w:val="18"/>
          <w:color w:val="auto"/>
        </w:rPr>
      </w:pPr>
    </w:p>
    <w:p>
      <w:pPr>
        <w:jc w:val="both"/>
        <w:ind w:firstLine="7"/>
        <w:spacing w:after="0" w:line="252" w:lineRule="auto"/>
        <w:tabs>
          <w:tab w:leader="none" w:pos="2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 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6" w:name="page117"/>
    <w:bookmarkEnd w:id="116"/>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7" w:lineRule="auto"/>
        <w:tabs>
          <w:tab w:leader="none" w:pos="2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80" w:lineRule="exact"/>
        <w:rPr>
          <w:rFonts w:ascii="Times New Roman" w:cs="Times New Roman" w:eastAsia="Times New Roman" w:hAnsi="Times New Roman"/>
          <w:sz w:val="18"/>
          <w:szCs w:val="18"/>
          <w:color w:val="auto"/>
        </w:rPr>
      </w:pPr>
    </w:p>
    <w:p>
      <w:pPr>
        <w:jc w:val="both"/>
        <w:ind w:firstLine="7"/>
        <w:spacing w:after="0" w:line="254"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5" w:lineRule="exact"/>
        <w:rPr>
          <w:rFonts w:ascii="Times New Roman" w:cs="Times New Roman" w:eastAsia="Times New Roman" w:hAnsi="Times New Roman"/>
          <w:sz w:val="18"/>
          <w:szCs w:val="18"/>
          <w:color w:val="auto"/>
        </w:rPr>
      </w:pPr>
    </w:p>
    <w:p>
      <w:pPr>
        <w:jc w:val="both"/>
        <w:ind w:firstLine="7"/>
        <w:spacing w:after="0" w:line="257" w:lineRule="auto"/>
        <w:tabs>
          <w:tab w:leader="none" w:pos="2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80" w:lineRule="exact"/>
        <w:rPr>
          <w:rFonts w:ascii="Times New Roman" w:cs="Times New Roman" w:eastAsia="Times New Roman" w:hAnsi="Times New Roman"/>
          <w:sz w:val="18"/>
          <w:szCs w:val="18"/>
          <w:color w:val="auto"/>
        </w:rPr>
      </w:pPr>
    </w:p>
    <w:p>
      <w:pPr>
        <w:jc w:val="both"/>
        <w:ind w:firstLine="7"/>
        <w:spacing w:after="0" w:line="262" w:lineRule="auto"/>
        <w:tabs>
          <w:tab w:leader="none" w:pos="25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INDENTURES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SECTION 9.01 </w:t>
      </w:r>
      <w:r>
        <w:rPr>
          <w:rFonts w:ascii="Times New Roman" w:cs="Times New Roman" w:eastAsia="Times New Roman" w:hAnsi="Times New Roman"/>
          <w:sz w:val="17"/>
          <w:szCs w:val="17"/>
          <w:u w:val="single" w:color="auto"/>
          <w:color w:val="auto"/>
        </w:rPr>
        <w:t>Supplemental Indentures Without the Consent of Securityholders</w:t>
      </w:r>
      <w:r>
        <w:rPr>
          <w:rFonts w:ascii="Times New Roman" w:cs="Times New Roman" w:eastAsia="Times New Roman" w:hAnsi="Times New Roman"/>
          <w:sz w:val="17"/>
          <w:szCs w:val="17"/>
          <w:color w:val="auto"/>
        </w:rPr>
        <w:t>.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60" w:lineRule="exact"/>
        <w:rPr>
          <w:sz w:val="20"/>
          <w:szCs w:val="20"/>
          <w:color w:val="auto"/>
        </w:rPr>
      </w:pPr>
    </w:p>
    <w:p>
      <w:pPr>
        <w:jc w:val="both"/>
        <w:ind w:firstLine="7"/>
        <w:spacing w:after="0" w:line="262" w:lineRule="auto"/>
        <w:tabs>
          <w:tab w:leader="none" w:pos="27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7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X;</w:t>
      </w:r>
    </w:p>
    <w:p>
      <w:pPr>
        <w:spacing w:after="0" w:line="219"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5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25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2"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19" w:lineRule="exact"/>
        <w:rPr>
          <w:rFonts w:ascii="Times New Roman" w:cs="Times New Roman" w:eastAsia="Times New Roman" w:hAnsi="Times New Roman"/>
          <w:sz w:val="18"/>
          <w:szCs w:val="18"/>
          <w:color w:val="auto"/>
        </w:rPr>
      </w:pPr>
    </w:p>
    <w:p>
      <w:pPr>
        <w:jc w:val="both"/>
        <w:ind w:firstLine="7"/>
        <w:spacing w:after="0" w:line="262" w:lineRule="auto"/>
        <w:tabs>
          <w:tab w:leader="none" w:pos="25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7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the Commission in order to effect or maintain the qualification of this Indenture under the Trust Indenture Act.</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Securityholders</w:t>
      </w:r>
      <w:r>
        <w:rPr>
          <w:rFonts w:ascii="Times New Roman" w:cs="Times New Roman" w:eastAsia="Times New Roman" w:hAnsi="Times New Roman"/>
          <w:sz w:val="18"/>
          <w:szCs w:val="18"/>
          <w:color w:val="auto"/>
        </w:rPr>
        <w:t>. 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w:t>
      </w:r>
    </w:p>
    <w:p>
      <w:pPr>
        <w:spacing w:after="0" w:line="2" w:lineRule="exact"/>
        <w:rPr>
          <w:sz w:val="20"/>
          <w:szCs w:val="20"/>
          <w:color w:val="auto"/>
        </w:rPr>
      </w:pPr>
    </w:p>
    <w:p>
      <w:pPr>
        <w:ind w:firstLine="7"/>
        <w:spacing w:after="0" w:line="255" w:lineRule="auto"/>
        <w:tabs>
          <w:tab w:leader="none" w:pos="31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Security of a series payable in currency or currency units other than that stated in the Securities of such series.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 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 ENTITY</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SECTION 10.01 </w:t>
      </w:r>
      <w:r>
        <w:rPr>
          <w:rFonts w:ascii="Times New Roman" w:cs="Times New Roman" w:eastAsia="Times New Roman" w:hAnsi="Times New Roman"/>
          <w:sz w:val="17"/>
          <w:szCs w:val="17"/>
          <w:u w:val="single" w:color="auto"/>
          <w:color w:val="auto"/>
        </w:rPr>
        <w:t>Company May Consolidate, Etc</w:t>
      </w:r>
      <w:r>
        <w:rPr>
          <w:rFonts w:ascii="Times New Roman" w:cs="Times New Roman" w:eastAsia="Times New Roman" w:hAnsi="Times New Roman"/>
          <w:sz w:val="17"/>
          <w:szCs w:val="17"/>
          <w:color w:val="auto"/>
        </w:rPr>
        <w:t>. 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3" w:lineRule="auto"/>
        <w:tabs>
          <w:tab w:leader="none" w:pos="24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5" w:lineRule="exact"/>
        <w:rPr>
          <w:rFonts w:ascii="Times New Roman" w:cs="Times New Roman" w:eastAsia="Times New Roman" w:hAnsi="Times New Roman"/>
          <w:sz w:val="18"/>
          <w:szCs w:val="18"/>
          <w:color w:val="auto"/>
        </w:rPr>
      </w:pPr>
    </w:p>
    <w:p>
      <w:pPr>
        <w:ind w:firstLine="7"/>
        <w:spacing w:after="0" w:line="277" w:lineRule="auto"/>
        <w:tabs>
          <w:tab w:leader="none" w:pos="26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24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9" w:name="page120"/>
    <w:bookmarkEnd w:id="119"/>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Evidence of Consolidation, Etc. to Trustee</w:t>
      </w:r>
      <w:r>
        <w:rPr>
          <w:rFonts w:ascii="Times New Roman" w:cs="Times New Roman" w:eastAsia="Times New Roman" w:hAnsi="Times New Roman"/>
          <w:sz w:val="18"/>
          <w:szCs w:val="18"/>
          <w:color w:val="auto"/>
        </w:rPr>
        <w:t>. 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Deposited Moneys to be Held in Trust</w:t>
      </w:r>
      <w:r>
        <w:rPr>
          <w:rFonts w:ascii="Times New Roman" w:cs="Times New Roman" w:eastAsia="Times New Roman" w:hAnsi="Times New Roman"/>
          <w:sz w:val="18"/>
          <w:szCs w:val="18"/>
          <w:color w:val="auto"/>
        </w:rPr>
        <w:t>. 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 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IMMUNITY OF INCORPORATORS, SHAREHOLDERS, OFFICERS AND DIRECTORS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shareholders,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 All the covenants, stipulations, promises and agreements in this Indenture contained by or on behalf of the Company shall bind its successors and assigns, whether so expressed or not.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TMC the metals company Inc., Attn: [ ], 595 Howe Street, 10th Floor, Vancouver, British Columbia, Canada V6C 2T5.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9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and each Security shall be deemed to be a contract made under the internal laws of the State of New York, and for all purposes shall be construed in accordance with the laws of said State.</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p>
      <w:pPr>
        <w:spacing w:after="0" w:line="277"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Treatment of Securities as Debt</w:t>
      </w:r>
      <w:r>
        <w:rPr>
          <w:rFonts w:ascii="Times New Roman" w:cs="Times New Roman" w:eastAsia="Times New Roman" w:hAnsi="Times New Roman"/>
          <w:sz w:val="18"/>
          <w:szCs w:val="18"/>
          <w:color w:val="auto"/>
        </w:rPr>
        <w:t>. It is intended that the Securities will be treated as indebtedness and not as equity for federal income tax purposes. The provisions of this Indenture shall be interpreted to further this intention.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7"/>
        <w:spacing w:after="0" w:line="254"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5" w:lineRule="exact"/>
        <w:rPr>
          <w:rFonts w:ascii="Times New Roman" w:cs="Times New Roman" w:eastAsia="Times New Roman" w:hAnsi="Times New Roman"/>
          <w:sz w:val="18"/>
          <w:szCs w:val="18"/>
          <w:color w:val="auto"/>
        </w:rPr>
      </w:pPr>
    </w:p>
    <w:p>
      <w:pPr>
        <w:jc w:val="both"/>
        <w:ind w:firstLine="7"/>
        <w:spacing w:after="0" w:line="253" w:lineRule="auto"/>
        <w:tabs>
          <w:tab w:leader="none" w:pos="26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 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and to the extent that any provision of this Indenture limits, qualifies or conflicts with the duties imposed by Sections 310 to 317, inclusive, of the Trust Indenture Act, such imposed duties shall control.</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Indenture may be executed in any number of counterparts, each of which shall be an original, but such counterparts shall together constitute but one and the same instrument.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SUBORDINATION OF SECURITIES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Subordination Terms</w:t>
      </w:r>
      <w:r>
        <w:rPr>
          <w:rFonts w:ascii="Times New Roman" w:cs="Times New Roman" w:eastAsia="Times New Roman" w:hAnsi="Times New Roman"/>
          <w:sz w:val="18"/>
          <w:szCs w:val="18"/>
          <w:color w:val="auto"/>
        </w:rPr>
        <w:t>. 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11353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96455"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1" w:lineRule="auto"/>
        <w:rPr>
          <w:sz w:val="20"/>
          <w:szCs w:val="20"/>
          <w:color w:val="auto"/>
        </w:rPr>
      </w:pPr>
      <w:r>
        <w:rPr>
          <w:rFonts w:ascii="Times New Roman" w:cs="Times New Roman" w:eastAsia="Times New Roman" w:hAnsi="Times New Roman"/>
          <w:sz w:val="18"/>
          <w:szCs w:val="18"/>
          <w:color w:val="auto"/>
        </w:rPr>
        <w:t>595 Howe Street,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197" w:lineRule="exact"/>
        <w:rPr>
          <w:sz w:val="20"/>
          <w:szCs w:val="20"/>
          <w:color w:val="auto"/>
        </w:rPr>
      </w:pPr>
    </w:p>
    <w:p>
      <w:pPr>
        <w:ind w:left="128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Form S-3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We have acted as British Columbia counsel to TMC the metals company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preparation and filing of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potential issuance and sale by the Corporation of up to an aggregate of US$100 million of securities of the Corporation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one or more prospectus supplements (each, a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 the Registration Statement to be filed by the Corporation from time to time. We have examined and relied upon (a) the Registration Statement, (b) the Corporation’s Certificate of Continuation, Notice of Articles and Articles, as currently in effect, and (c) originals or copies certified to our satisfaction of such records, documents, certificates, memoranda and other instruments as in our judgment are necessary or appropriate to enable us to render the opinion expressed below. 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Corporation,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on all such parties. In our capacity as counsel to the Corporation in connection with the registration of the Registration Statement, we are familiar with the proceedings taken and proposed to be taken by the Corporation in connection with the authorization and issuance of the Securities. For purposes of this opinion, we have assumed that such proceedings will be timely and properly completed, in accordance with all requirements of the Applicable Law (as defined below), in the manner presently proposed. As to questions of fact material to our opinions, we have relied upon certificates of officers of the Corporation and of public officials.</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Securities of the Corporation which may be offered under the Registration Statement include the following:</w:t>
      </w:r>
    </w:p>
    <w:p>
      <w:pPr>
        <w:spacing w:after="0" w:line="216" w:lineRule="exact"/>
        <w:rPr>
          <w:sz w:val="20"/>
          <w:szCs w:val="20"/>
          <w:color w:val="auto"/>
        </w:rPr>
      </w:pPr>
    </w:p>
    <w:p>
      <w:pPr>
        <w:ind w:left="1280" w:hanging="313"/>
        <w:spacing w:after="0" w:line="281" w:lineRule="auto"/>
        <w:tabs>
          <w:tab w:leader="none" w:pos="12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without par value and with special rights or restrictions attached (the “</w:t>
      </w:r>
      <w:r>
        <w:rPr>
          <w:rFonts w:ascii="Times New Roman" w:cs="Times New Roman" w:eastAsia="Times New Roman" w:hAnsi="Times New Roman"/>
          <w:sz w:val="18"/>
          <w:szCs w:val="18"/>
          <w:b w:val="1"/>
          <w:bCs w:val="1"/>
          <w:color w:val="auto"/>
        </w:rPr>
        <w:t>Offered Common Shares</w:t>
      </w:r>
      <w:r>
        <w:rPr>
          <w:rFonts w:ascii="Times New Roman" w:cs="Times New Roman" w:eastAsia="Times New Roman" w:hAnsi="Times New Roman"/>
          <w:sz w:val="18"/>
          <w:szCs w:val="18"/>
          <w:color w:val="auto"/>
        </w:rPr>
        <w:t>”) and preferred shares without par value and with special rights or restrictions attached (the “</w:t>
      </w:r>
      <w:r>
        <w:rPr>
          <w:rFonts w:ascii="Times New Roman" w:cs="Times New Roman" w:eastAsia="Times New Roman" w:hAnsi="Times New Roman"/>
          <w:sz w:val="18"/>
          <w:szCs w:val="18"/>
          <w:b w:val="1"/>
          <w:bCs w:val="1"/>
          <w:color w:val="auto"/>
        </w:rPr>
        <w:t>Offered Preferred Shares</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38,266,180 common shares of the Corporation being transferred for resale by the selling stockholders named in the Registration Statement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32,016,180 common shares of which have been issued by the Corporation (the “</w:t>
      </w:r>
      <w:r>
        <w:rPr>
          <w:rFonts w:ascii="Times New Roman" w:cs="Times New Roman" w:eastAsia="Times New Roman" w:hAnsi="Times New Roman"/>
          <w:sz w:val="18"/>
          <w:szCs w:val="18"/>
          <w:b w:val="1"/>
          <w:bCs w:val="1"/>
          <w:color w:val="auto"/>
        </w:rPr>
        <w:t>Issued Shares</w:t>
      </w:r>
      <w:r>
        <w:rPr>
          <w:rFonts w:ascii="Times New Roman" w:cs="Times New Roman" w:eastAsia="Times New Roman" w:hAnsi="Times New Roman"/>
          <w:sz w:val="18"/>
          <w:szCs w:val="18"/>
          <w:color w:val="auto"/>
        </w:rPr>
        <w:t>”) and 6,250,000 common shares of which remain to be issued by the Corporation (the “</w:t>
      </w:r>
      <w:r>
        <w:rPr>
          <w:rFonts w:ascii="Times New Roman" w:cs="Times New Roman" w:eastAsia="Times New Roman" w:hAnsi="Times New Roman"/>
          <w:sz w:val="18"/>
          <w:szCs w:val="18"/>
          <w:b w:val="1"/>
          <w:bCs w:val="1"/>
          <w:color w:val="auto"/>
        </w:rPr>
        <w:t>Pending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394335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23" w:name="page124"/>
    <w:bookmarkEnd w:id="123"/>
    <w:p>
      <w:pPr>
        <w:ind w:left="10760"/>
        <w:spacing w:after="0"/>
        <w:rPr>
          <w:sz w:val="20"/>
          <w:szCs w:val="20"/>
          <w:color w:val="auto"/>
        </w:rPr>
      </w:pPr>
      <w:r>
        <w:rPr>
          <w:rFonts w:ascii="Times New Roman" w:cs="Times New Roman" w:eastAsia="Times New Roman" w:hAnsi="Times New Roman"/>
          <w:sz w:val="17"/>
          <w:szCs w:val="17"/>
          <w:color w:val="auto"/>
        </w:rPr>
        <w:t>Page 2</w:t>
      </w:r>
    </w:p>
    <w:p>
      <w:pPr>
        <w:spacing w:after="0" w:line="23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Our opinion herein is limited to the laws of the Province of British Columbia and the federal laws of Canada applicable therein now in effect (the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Corporation of the consideration for the issuance of such shares or as to the adequacy of any consideration received.</w:t>
      </w:r>
    </w:p>
    <w:p>
      <w:pPr>
        <w:spacing w:after="0" w:line="185"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In rendering our opinions set forth herein, we have also assumed that, at the time of any offer and sale of Securities, (i) the Corporation has been duly organized and is validly existing and in good standing, and has the requisite legal status and legal capacity, under the laws of the Province of British Columbia; (ii) the Corporation has complied and will comply with the laws of all relevant jurisdictions in connection with the transactions contemplated by, and the performance of its obligations under, the Registration Statement; (iii) the Registration Statement and any amendments thereto (including any post-effective amendments thereto) has become effective under the Act; (iv) that an appropriate Prospectus Supplement or term sheet with respect to the Securities offered thereby has been prepared, delivered and filed in compliance with the Act and the applicable rules and regulations thereunder; (v) that a definitive purchase, underwriting or similar agreement (a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with respect to any offered Securities will have been duly authorized and validly executed and delivered by the Corporation and the other parties thereto and will be filed with the United States Securities and Exchange Commission on a Current Report on Form 8-K or other applicable periodic report in the manner contemplated in the Registration Statement or applicable Prospectus Supplement; (vi) that the Securities will be issued and sold in compliance with applicable U.S. federal and state securities laws and in the manner stated in the Registration Statement and the applicable Prospectus Supplement; (vii) that any Securities issuable upon conversion, exchange, redemption or exercise of any Securities being offered will be duly authorized, created and, if appropriate, reserved for issuance upon such conversion, exchange, redemption or exercise; (viii) with respect to our opinion as to the Offered Common Shares, we have assumed that, at the time of issuance and sale, a sufficient number of shares of common shares in the capital of the Corporation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are authorized and available for issuance under the maximum number of Common Shares the Corporation is authorized to issue and that the consideration for the issuance and sale of the Offered Common Shares is in an amount that is not less than the par value of the Common Shares, if any; and (ix) with respect to our opinion as to the Offered Preferred Shares, we have assumed that, at the time of issuance and sale, a sufficient number of shares of preferred shares in the capital of the Corporation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are authorized and available for issuance under the maximum number of Preferred Shares the Corporation is authorized to issue and that the consideration for the issuance and sale of the Offered Preferred Shares is in an amount that is not less than the par value of the Preferred Shares, if any. As to any facts material to our opinion, we have made no independent investigation of such facts and have relied, to the extent that we deem such reliance proper, upon certificates of public officials and officers or other representatives of the Corporation. We assume, based on advise previously received from the Corporation, that the applicable agreements relating to any of the Securities will be governed by the laws of a jurisdiction outside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533400</wp:posOffset>
            </wp:positionV>
            <wp:extent cx="7134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Based on and subject to the foregoing assumptions and qualifications we are of the opinion that: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           With respect to the issuance of any Offered Common Shares which may be offered pursuant to the Registration Statement, when</w:t>
      </w:r>
    </w:p>
    <w:p>
      <w:pPr>
        <w:spacing w:after="0" w:line="25" w:lineRule="exact"/>
        <w:rPr>
          <w:sz w:val="20"/>
          <w:szCs w:val="20"/>
          <w:color w:val="auto"/>
        </w:rPr>
      </w:pPr>
    </w:p>
    <w:p>
      <w:pPr>
        <w:jc w:val="both"/>
        <w:ind w:firstLine="7"/>
        <w:spacing w:after="0" w:line="263" w:lineRule="auto"/>
        <w:tabs>
          <w:tab w:leader="none" w:pos="27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issuance of the Offered Common Shares as fully-paid and non-assessable Common Shares, and the sale of Offered Common Shares, and, if certificated, the certificates representing the Offered Common Shares have been duly authorized and approved by all necessary corporate action in conformity with the constating documents (as then in effect), and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w:t>
      </w:r>
      <w:r>
        <w:rPr>
          <w:rFonts w:ascii="Times New Roman" w:cs="Times New Roman" w:eastAsia="Times New Roman" w:hAnsi="Times New Roman"/>
          <w:sz w:val="17"/>
          <w:szCs w:val="17"/>
          <w:b w:val="1"/>
          <w:bCs w:val="1"/>
          <w:color w:val="auto"/>
        </w:rPr>
        <w:t>BCBCA</w:t>
      </w:r>
      <w:r>
        <w:rPr>
          <w:rFonts w:ascii="Times New Roman" w:cs="Times New Roman" w:eastAsia="Times New Roman" w:hAnsi="Times New Roman"/>
          <w:sz w:val="17"/>
          <w:szCs w:val="17"/>
          <w:color w:val="auto"/>
        </w:rPr>
        <w:t>”) (as then in effect), and does not violate any Applicable Law or result in a default under or breach of any agreement or instrument binding upon the Corporation and comply with any requirement or restriction imposed by any court or governmental body of Canada or British Columbia having jurisdiction over the Corporation; (b) the full consideration, determined to be adequate by the Corporation’s board of directors, which is at least equal to the issue price of the such Offered Common Shares, has been received by the Corporation; (c) the terms of the issuance and sale of the Offered Common Shares have been duly established and are then in conformity with the Corporation’s the constating documents (as then in effect) and the BCBCA (as then in effect), so as not to violate any Applicable Law or such constating documents, or result in a default under or breach of any agreement or instrument binding upon the Corporation, and so as to comply with any requirement or restriction imposed by any court or governmental body having jurisdiction over the Corporation; and (d) if certificated, the certificates representing the Offered Common Shares have been duly executed and delivered by the proper officers of the Corporation to the purchasers thereof against payment of the agreed-upon consideration therefor in the manner contemplated in the Registration Statement or any Prospectus Supplement relating thereto, or, if not certificated, valid book-entry notations therefor having been made in the share register of the Corporation, in accordance with the terms of the applicable Purchase Agreement or, if issuable upon exchange or conversion of any other Security, in accordance with the terms of such Security or the instrument governing such Security providing for such conversion or exercise as approved by the board of director of the Corporation (provided that such consideration is not less than the par value of the Common Shares), the Offered Common Shares will be validly issued, fully paid, and non-assessable.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With respect to the issuance of any Offered Preferred Shares which may be offered pursuant to the Registration Statement, when</w:t>
      </w:r>
    </w:p>
    <w:p>
      <w:pPr>
        <w:spacing w:after="0" w:line="25" w:lineRule="exact"/>
        <w:rPr>
          <w:sz w:val="20"/>
          <w:szCs w:val="20"/>
          <w:color w:val="auto"/>
        </w:rPr>
      </w:pPr>
    </w:p>
    <w:p>
      <w:pPr>
        <w:jc w:val="both"/>
        <w:ind w:firstLine="7"/>
        <w:spacing w:after="0" w:line="247" w:lineRule="auto"/>
        <w:tabs>
          <w:tab w:leader="none" w:pos="24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alteration of the authorized share structure of the Corporation to create the Preferred Shares, including attaching any special rights and restrictions, and the issuance of the Offered Preferred Shares as fully-paid and non-assessable Preferred Shares, and the sale of Offered Preferred Shares, and, if certificated, the certificates representing the Offered Preferred Shares have been duly authorized and approved by all necessary corporate action in conformity with the constating documents (as then in effect), and the BCBCA (as then in effect), and does not violate any Applicable Law or result in a default under or breach of any agreement or instrument binding upon the Corporation and comply with any requirement or restriction imposed by any court or governmental body of Canada or British Columbia having jurisdiction over the Corporation; (b) the full consideration, determined to be adequate by the Corporation’s board of directors, which is at least equal to the issue price of the such Offered Preferred Shares, has been received by the Corporation; (c) the terms of the issuance and sale of the Offered Preferred Shares have been duly established and are then in conformity with the Corporation’s the constating documents (as then in effect) and the BCBCA (as then in effect), so as not to violate any Applicable Law or such constating documents, or result in a default under or breach of any agreement or instrument binding upon the Corporation, and so as to comply with any requirement or restriction imposed by any court or governmental body having jurisdiction over the Corporation; (d) an appropriate notice of alteration relating to a class or series of the Preferred Shares to be sold under the Registration Statement has been duly authorized and adopted and filed with the registrar under the BCBCA and the registrar has furnished to the Corporation a copy of the notice of articles as altered prior to the issuance of the Offered Preferred Shares and the Preferred Shares, including the attachment of an special rights and restrictions, have been duly and validly been authorized, created and approved pursuant to the constating documents (as then in effect), and the BCBCA (as then in effect), and the creation of such Preferred Shares does not violate any Applicable Law or result in a default under or breach of any agreement or instrument binding upon the Corporation and complies with any requirement or restriction imposed by any court or governmental body of Canada or British Columbia having jurisdiction over the Corporation; and (e) if certificated, the certificates representing the Offered Preferred Shares have been duly executed and delivered by the proper officers of the Corporation to the purchasers thereof against payment of the agreed-upon consideration therefor in the manner contemplated in the Registration Statement or any Prospectus Supplement relating thereto, or, if not certificated, valid book-entry notations therefor having been made in the share register of the Corporation, in accordance with the terms of the applicable Purchase Agreement or, if issuable upon exchange or conversion of any other Security, in accordance with the terms of such Security or the instrument governing such Security providing for such conversion or exercise as approved by the board of director of the Corporation (provided that such consideration is not less than the par value of the Preferred Shares), the Offered Preferred Shares will be validly issued, fully paid, and non-assessable.</w:t>
      </w: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           The Pending Shares, when issued, will be validly issued, fully paid, and non-assessable.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           The Issued Shares have been validly issued as fully paid, and non-assessable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422275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ind w:left="10760"/>
        <w:spacing w:after="0"/>
        <w:rPr>
          <w:sz w:val="20"/>
          <w:szCs w:val="20"/>
          <w:color w:val="auto"/>
        </w:rPr>
      </w:pPr>
      <w:r>
        <w:rPr>
          <w:rFonts w:ascii="Times New Roman" w:cs="Times New Roman" w:eastAsia="Times New Roman" w:hAnsi="Times New Roman"/>
          <w:sz w:val="17"/>
          <w:szCs w:val="17"/>
          <w:color w:val="auto"/>
        </w:rPr>
        <w:t>Page 4</w:t>
      </w:r>
    </w:p>
    <w:p>
      <w:pPr>
        <w:spacing w:after="0" w:line="23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We hereby consent to the use of our name in, and the filing of this opinion as an exhibit to, the Registration Statement.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422275</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b w:val="1"/>
          <w:bCs w:val="1"/>
          <w:color w:val="auto"/>
        </w:rPr>
        <w:t>Exhibit 5.2</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-119380</wp:posOffset>
            </wp:positionV>
            <wp:extent cx="974090" cy="1127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974090" cy="112712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617 542 6000</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V6C 2T5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have acted as legal counsel to TMC the metals company Inc., a corporation existing under the laws of British Columbia, Canada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spacing w:after="0" w:line="160" w:lineRule="exact"/>
        <w:rPr>
          <w:sz w:val="20"/>
          <w:szCs w:val="20"/>
          <w:color w:val="auto"/>
        </w:rPr>
      </w:pPr>
    </w:p>
    <w:p>
      <w:pPr>
        <w:ind w:left="1020" w:hanging="569"/>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no par value (the “Common Shares”);</w:t>
      </w:r>
    </w:p>
    <w:p>
      <w:pPr>
        <w:spacing w:after="0" w:line="219"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no par value (the “Preferred Shares”);</w:t>
      </w:r>
    </w:p>
    <w:p>
      <w:pPr>
        <w:spacing w:after="0" w:line="219" w:lineRule="exact"/>
        <w:rPr>
          <w:rFonts w:ascii="Times New Roman" w:cs="Times New Roman" w:eastAsia="Times New Roman" w:hAnsi="Times New Roman"/>
          <w:sz w:val="18"/>
          <w:szCs w:val="18"/>
          <w:color w:val="auto"/>
        </w:rPr>
      </w:pPr>
    </w:p>
    <w:p>
      <w:pPr>
        <w:jc w:val="both"/>
        <w:ind w:left="1020" w:hanging="569"/>
        <w:spacing w:after="0" w:line="257"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in the form attached as Exhibit 4.7 to the Registration Statement, as such indenture may be amended or supplemented from time to time (the “Senior Indenture”);</w:t>
      </w:r>
    </w:p>
    <w:p>
      <w:pPr>
        <w:spacing w:after="0" w:line="180" w:lineRule="exact"/>
        <w:rPr>
          <w:rFonts w:ascii="Times New Roman" w:cs="Times New Roman" w:eastAsia="Times New Roman" w:hAnsi="Times New Roman"/>
          <w:sz w:val="18"/>
          <w:szCs w:val="18"/>
          <w:color w:val="auto"/>
        </w:rPr>
      </w:pPr>
    </w:p>
    <w:p>
      <w:pPr>
        <w:jc w:val="both"/>
        <w:ind w:left="1020" w:hanging="569"/>
        <w:spacing w:after="0" w:line="257"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in the form attached as Exhibit 4.8 to the Registration Statement, as such indenture may be amended or supplemented from time to time (the “Subordinated Indenture”);</w:t>
      </w:r>
    </w:p>
    <w:p>
      <w:pPr>
        <w:spacing w:after="0" w:line="180" w:lineRule="exact"/>
        <w:rPr>
          <w:rFonts w:ascii="Times New Roman" w:cs="Times New Roman" w:eastAsia="Times New Roman" w:hAnsi="Times New Roman"/>
          <w:sz w:val="18"/>
          <w:szCs w:val="18"/>
          <w:color w:val="auto"/>
        </w:rPr>
      </w:pPr>
    </w:p>
    <w:p>
      <w:pPr>
        <w:jc w:val="both"/>
        <w:ind w:left="1020" w:hanging="569"/>
        <w:spacing w:after="0" w:line="26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Shares, Preferred Shares, and/or Debt Securities (the “Warrants”), which may be issued under warrant agreements, to be dated on or about the date of the first issuance of the applicable Warrants thereunder, by and between the Company and a warrant agent to be selected by the Company (each, a “Warrant Agreement”);</w:t>
      </w:r>
    </w:p>
    <w:p>
      <w:pPr>
        <w:spacing w:after="0" w:line="176" w:lineRule="exact"/>
        <w:rPr>
          <w:rFonts w:ascii="Times New Roman" w:cs="Times New Roman" w:eastAsia="Times New Roman" w:hAnsi="Times New Roman"/>
          <w:sz w:val="18"/>
          <w:szCs w:val="18"/>
          <w:color w:val="auto"/>
        </w:rPr>
      </w:pPr>
    </w:p>
    <w:p>
      <w:pPr>
        <w:jc w:val="both"/>
        <w:ind w:left="1020" w:right="20" w:hanging="569"/>
        <w:spacing w:after="0" w:line="26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one or more Debt Securities, Common Shares, Preferred Shares and Warrants, in any combination (the “Units”), which may be issued under unit agreements, to be dated on or about the date of the first issuance of the applicable Units thereunder, by and between the Company and a unit agent to be selected by the Company (each, a “Unit Agreement”); and</w:t>
      </w:r>
    </w:p>
    <w:p>
      <w:pPr>
        <w:spacing w:after="0" w:line="176" w:lineRule="exact"/>
        <w:rPr>
          <w:rFonts w:ascii="Times New Roman" w:cs="Times New Roman" w:eastAsia="Times New Roman" w:hAnsi="Times New Roman"/>
          <w:sz w:val="18"/>
          <w:szCs w:val="18"/>
          <w:color w:val="auto"/>
        </w:rPr>
      </w:pPr>
    </w:p>
    <w:p>
      <w:pPr>
        <w:ind w:left="1020" w:right="20" w:hanging="569"/>
        <w:spacing w:after="0" w:line="277"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aggregate of 38,266,180 Common Shares of the Company (the “Shares”) being registered for resale by the selling shareholders named in the Registration Statement.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Common Shares, the Preferred Shares, the Debt Securities, the Warrants, the Units and the Shares are collectively referred to herein as the “Securities.” The Registration Statement relates to the registration of the Securities to be offered and sold by the Company from time to time on a delayed or continuous basis pursuant to Rule 415 under the Securities Act.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certificate of continuation, the notice of articles and articles, each as currently in effect; such other records of the corporate proceedings of the Company and certificates of the Company’s officers as we have deemed relevant; and the Registration Statement and the exhibits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16" w:lineRule="exact"/>
        <w:rPr>
          <w:sz w:val="20"/>
          <w:szCs w:val="20"/>
          <w:color w:val="auto"/>
        </w:rPr>
      </w:pPr>
    </w:p>
    <w:p>
      <w:pPr>
        <w:jc w:val="center"/>
        <w:ind w:right="-19"/>
        <w:spacing w:after="0"/>
        <w:tabs>
          <w:tab w:leader="none" w:pos="200" w:val="left"/>
          <w:tab w:leader="none" w:pos="200" w:val="left"/>
          <w:tab w:leader="none" w:pos="20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18"/>
          <w:szCs w:val="18"/>
          <w:color w:val="auto"/>
        </w:rPr>
        <w:t>BOSTON</w:t>
        <w:tab/>
        <w:t>LONDON</w:t>
        <w:tab/>
        <w:t>LOS ANGELES</w:t>
        <w:tab/>
        <w:t>NEW YORK</w:t>
        <w:tab/>
        <w:t>SAN DIEGO</w:t>
        <w:tab/>
        <w:t>SAN FRANCISCO</w:t>
      </w:r>
      <w:r>
        <w:rPr>
          <w:sz w:val="20"/>
          <w:szCs w:val="20"/>
          <w:color w:val="auto"/>
        </w:rPr>
        <w:tab/>
      </w:r>
      <w:r>
        <w:rPr>
          <w:rFonts w:ascii="Times New Roman" w:cs="Times New Roman" w:eastAsia="Times New Roman" w:hAnsi="Times New Roman"/>
          <w:sz w:val="17"/>
          <w:szCs w:val="17"/>
          <w:color w:val="auto"/>
        </w:rPr>
        <w:t>WASHINGTON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6646545</wp:posOffset>
            </wp:positionH>
            <wp:positionV relativeFrom="paragraph">
              <wp:posOffset>153670</wp:posOffset>
            </wp:positionV>
            <wp:extent cx="491490" cy="6013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491490" cy="6013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the truth and correctness of any representations and warranties contained therein, and that the Warrant Agreements and the Unit Agreements shall be governed by the laws of the State of New York.</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laws, in the manner presently proposed.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Company and the respective trustees thereunder and the Warrant Agreement and Unit Agreement will be duly authorized, executed, and delivered by the Company and the warrant agent and unit agent, respectively, thereunder. With respect to our opinion as to the Securities convertible into or exercisable for Common Shares, we have assumed that, at the time of issuance and sale, a sufficient number of Common Shares are authorized and available for issuance under the Company’s notice of articles and articles as then in effect and that the consideration for the issuance and sale of the Debt Securities convertible into Common Shares or Warrants or any Units of such Securities is in an amount that is not less than an amount required by applicable law. With respect to our opinion as to the Securities convertible into or exercisable for Preferred Shares, we have assumed that, at the time of issuance and sale, a sufficient number of Preferred Shares are authorized, designated and available for issuance and that the consideration for the issuance and sale of the Debt Securities convertible into Preferred Shares or Warrants or any Units of such Securities is in an amount that is not less than an amount required by applicable law. We have also assumed that any Warrants and Units offered under the Registration Statement, and the related Warrant Agreement and Unit Agreement, as applicable, will be executed in the forms to be filed as exhibits to the Registration Statement or incorporated by reference therein. We have not independently verified any of the foregoing assumptions.</w:t>
      </w:r>
    </w:p>
    <w:p>
      <w:pPr>
        <w:spacing w:after="0" w:line="19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It is understood that this opinion is to be used only in connection with the offer and sale of Debt Securities, the Warrants and the Units while the Registration Statement is effective under the Securities Act.</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opinion is limited to the Federal laws of the United States of America and the laws of the State of New York. Without limiting the generality of the foregoing, we express no opinion with respect to (i) the qualification of the Securities under the securities or blue sky laws of any state or any foreign jurisdiction or (ii) the compliance with any federal or state law, rule or regulation relating to securities, or to the sale or issuance thereof. With respect to all matters of the laws of the Province of British Columbia and the federal laws of Canada applicable therein, we understand that you are relying upon the opinion, dated the date hereof, of Canadian counsel to the Company, and our opinion is subject to the same assumptions, qualifications and limitations with respect to such matters as are contained in such opinion of Canadian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6646545</wp:posOffset>
            </wp:positionH>
            <wp:positionV relativeFrom="paragraph">
              <wp:posOffset>153670</wp:posOffset>
            </wp:positionV>
            <wp:extent cx="491490" cy="6013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491490" cy="6013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in reliance thereon, and subject to the qualifications herein stated, we are of the opinion that:</w:t>
      </w:r>
    </w:p>
    <w:p>
      <w:pPr>
        <w:spacing w:after="0" w:line="220" w:lineRule="exact"/>
        <w:rPr>
          <w:sz w:val="20"/>
          <w:szCs w:val="20"/>
          <w:color w:val="auto"/>
        </w:rPr>
      </w:pPr>
    </w:p>
    <w:p>
      <w:pPr>
        <w:jc w:val="both"/>
        <w:ind w:firstLine="7"/>
        <w:spacing w:after="0" w:line="249" w:lineRule="auto"/>
        <w:tabs>
          <w:tab w:leader="none" w:pos="17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when (i) specifically authorized for issuance by the Company’s Board of Directors or an authorized Committee thereof and, if applicable, the requisite securityholders of the Company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 8-K, has been duly authorized, executed and delivered by the Company and the other parties thereto; (vi) 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valid and legally binding obligations of the Company.</w:t>
      </w:r>
    </w:p>
    <w:p>
      <w:pPr>
        <w:spacing w:after="0" w:line="193" w:lineRule="exact"/>
        <w:rPr>
          <w:rFonts w:ascii="Times New Roman" w:cs="Times New Roman" w:eastAsia="Times New Roman" w:hAnsi="Times New Roman"/>
          <w:sz w:val="18"/>
          <w:szCs w:val="18"/>
          <w:color w:val="auto"/>
        </w:rPr>
      </w:pPr>
    </w:p>
    <w:p>
      <w:pPr>
        <w:jc w:val="both"/>
        <w:ind w:firstLine="7"/>
        <w:spacing w:after="0" w:line="250" w:lineRule="auto"/>
        <w:tabs>
          <w:tab w:leader="none" w:pos="20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valid and legally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419100</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6646545</wp:posOffset>
            </wp:positionH>
            <wp:positionV relativeFrom="paragraph">
              <wp:posOffset>153670</wp:posOffset>
            </wp:positionV>
            <wp:extent cx="491490" cy="6013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491490" cy="6013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7"/>
        <w:spacing w:after="0" w:line="250" w:lineRule="auto"/>
        <w:tabs>
          <w:tab w:leader="none" w:pos="18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valid and legally binding obligations of the Company.</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Mintz, Levin, Cohn, Ferris,</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Glovsky and Popeo, P.C.</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incorporation by reference in the Registration Statement (Form S-3) of our report dated March 25, 2022, with respect to the consolidated financial statements of TMC the metals company Inc. (the “Company”) as at and for the years ended December 31, 2021 and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1"/>
          <w:szCs w:val="21"/>
          <w:b w:val="1"/>
          <w:bCs w:val="1"/>
          <w:color w:val="auto"/>
        </w:rPr>
        <w:t>Exhibit 23.4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Consultants Pty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Turbot Street, Brisbane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Queensland, 4060, Australia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4"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color w:val="auto"/>
        </w:rPr>
        <w:t>AMC Consultants Pty Ltd (“AMC”), in connection with the Registration Statement on Form S-3 of TMC the metals company Inc. and any further amendments or supplements and/or exhibits thereto (collectively, the “Form S-3”), consent to:</w:t>
      </w:r>
    </w:p>
    <w:p>
      <w:pPr>
        <w:spacing w:after="0" w:line="163" w:lineRule="exact"/>
        <w:rPr>
          <w:sz w:val="20"/>
          <w:szCs w:val="20"/>
          <w:color w:val="auto"/>
        </w:rPr>
      </w:pPr>
    </w:p>
    <w:p>
      <w:pPr>
        <w:jc w:val="both"/>
        <w:ind w:left="640" w:right="120" w:hanging="313"/>
        <w:spacing w:after="0" w:line="254"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for Deep Green Metals Inc.” (the “NORI Technical Report”), with an effective date of March 17, 2021 and current as of December 31, 2021, as an exhibit to and referenced in the Form S-3;</w:t>
      </w:r>
    </w:p>
    <w:p>
      <w:pPr>
        <w:spacing w:after="0" w:line="2" w:lineRule="exact"/>
        <w:rPr>
          <w:rFonts w:ascii="Times New Roman" w:cs="Times New Roman" w:eastAsia="Times New Roman" w:hAnsi="Times New Roman"/>
          <w:sz w:val="18"/>
          <w:szCs w:val="18"/>
          <w:color w:val="auto"/>
        </w:rPr>
      </w:pPr>
    </w:p>
    <w:p>
      <w:pPr>
        <w:ind w:left="640" w:right="640" w:hanging="313"/>
        <w:spacing w:after="0" w:line="247"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ind w:left="640" w:right="220" w:hanging="313"/>
        <w:spacing w:after="0" w:line="255"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is responsible for authoring, and this consent pertains to, the following Sections of the NORI Technical Report:</w:t>
      </w:r>
    </w:p>
    <w:p>
      <w:pPr>
        <w:spacing w:after="0" w:line="220" w:lineRule="exact"/>
        <w:rPr>
          <w:sz w:val="20"/>
          <w:szCs w:val="20"/>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Summary</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Introduction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Property description and location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Accessibility, climate, local resources, infrastructure, and physiography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History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 Sample preparation and assaying</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8.3: Quality assurance and quality control procedures 2018</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8.4: Quality assurance and quality control procedures 2019</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8.5: Moisture Content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Data verification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Mineral Resource estimates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Mineral Reserve estimates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13.3: Geotechnical considerations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13.7: Life of Mine nodule production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14.2: Project Zero</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15.1: On-shore infrastructure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Market studies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Environmental studies, permitting and social or community impact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(except 18.3.1, 18.3.2, 18.6.1, 18.6.6): Capital and operating costs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Economic analysis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 Adjacent properties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Other relevant data and information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 Reliance on information provided by the registrant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September 09, 2022</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Roderick David Carlson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667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Manager, Brisbane Office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Consultants Pty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Turbot Street, Brisbane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Queensland, 4060, Australia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4"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color w:val="auto"/>
        </w:rPr>
        <w:t>AMC Consultants Pty Ltd (“AMC”), in connection with the Registration Statement on Form S-3 of TMC the metals company Inc. and any further amendments or supplements and/or exhibits thereto (collectively, the “Form S-3”), consent to:</w:t>
      </w:r>
    </w:p>
    <w:p>
      <w:pPr>
        <w:spacing w:after="0" w:line="163" w:lineRule="exact"/>
        <w:rPr>
          <w:sz w:val="20"/>
          <w:szCs w:val="20"/>
          <w:color w:val="auto"/>
        </w:rPr>
      </w:pPr>
    </w:p>
    <w:p>
      <w:pPr>
        <w:ind w:left="640" w:right="40" w:hanging="313"/>
        <w:spacing w:after="0" w:line="254" w:lineRule="auto"/>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26, 2021 and current as of December 31, 2021, as an exhibit to and referenced in the Form S-3;</w:t>
      </w:r>
    </w:p>
    <w:p>
      <w:pPr>
        <w:spacing w:after="0" w:line="2" w:lineRule="exact"/>
        <w:rPr>
          <w:rFonts w:ascii="Times New Roman" w:cs="Times New Roman" w:eastAsia="Times New Roman" w:hAnsi="Times New Roman"/>
          <w:sz w:val="18"/>
          <w:szCs w:val="18"/>
          <w:color w:val="auto"/>
        </w:rPr>
      </w:pPr>
    </w:p>
    <w:p>
      <w:pPr>
        <w:ind w:left="640" w:right="640" w:hanging="313"/>
        <w:spacing w:after="0" w:line="262" w:lineRule="auto"/>
        <w:tabs>
          <w:tab w:leader="none" w:pos="6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our name, including our status as an expert or “qualified person” (as defined in Subpart 1300 of Regulation S-K promulgated by the Securities and Exchange Commission), in connection with the Form S-3 and any such TOML Technical Report; and</w:t>
      </w:r>
    </w:p>
    <w:p>
      <w:pPr>
        <w:ind w:left="640" w:right="140" w:hanging="313"/>
        <w:spacing w:after="0" w:line="255" w:lineRule="auto"/>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TOML Technical Report, or portions thereof, that was prepared by us, that we supervised the preparation of and/or that was reviewed and approved by us, that is included or incorporated by reference in the Form S-3.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is responsible for authoring, and this consent pertains to, the following Sections of the TOML Technical Report:</w:t>
      </w:r>
    </w:p>
    <w:p>
      <w:pPr>
        <w:spacing w:after="0" w:line="220" w:lineRule="exact"/>
        <w:rPr>
          <w:sz w:val="20"/>
          <w:szCs w:val="20"/>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Executive Summary</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Introduction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Property Description and Location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Sample preparation, analyses and security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Data verification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 – 11.8: Mineral Resources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11.9.1: Geological setting and mineralisation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11.9.2: Exploration methods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11.9.3: Sample preparation analysis and security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11.9.4: Mineral Resources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11.9.8: Market studies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11.9.9: Environmental studies, permitting and social or community impact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Mineral Reserve Estimates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Market Studies and Contracts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Environmental Studies, Permitting, and Social or Community Impact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Capital and Operating Cost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Economic Analysis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 Adjacent Properties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 Other Relevant Data and Information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 Reliance on information provided by the registrant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September 09, 2022</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Roderick David Carlson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Roderick David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667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Manager, Brisbane Office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AMC Consultants Pty Ltd, 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1"/>
          <w:szCs w:val="21"/>
          <w:b w:val="1"/>
          <w:bCs w:val="1"/>
          <w:color w:val="auto"/>
        </w:rPr>
        <w:t>Exhibit 23.6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Engineering Associates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104-3300 Highway 7, Unit 384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Concord, ON L4K 0G2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Canadian Engineering Associates Ltd (“CEA”), in connection with the Registration Statement on Form S-3 of TMC the metals company Inc. and any further amendments or supplements and/or exhibits thereto (collectively, the “Form S-3”), consent to:</w:t>
      </w:r>
    </w:p>
    <w:p>
      <w:pPr>
        <w:spacing w:after="0" w:line="163" w:lineRule="exact"/>
        <w:rPr>
          <w:sz w:val="20"/>
          <w:szCs w:val="20"/>
          <w:color w:val="auto"/>
        </w:rPr>
      </w:pPr>
    </w:p>
    <w:p>
      <w:pPr>
        <w:ind w:left="640" w:right="120" w:hanging="313"/>
        <w:spacing w:after="0" w:line="254" w:lineRule="auto"/>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S-3;</w:t>
      </w:r>
    </w:p>
    <w:p>
      <w:pPr>
        <w:spacing w:after="0" w:line="2" w:lineRule="exact"/>
        <w:rPr>
          <w:rFonts w:ascii="Times New Roman" w:cs="Times New Roman" w:eastAsia="Times New Roman" w:hAnsi="Times New Roman"/>
          <w:sz w:val="18"/>
          <w:szCs w:val="18"/>
          <w:color w:val="auto"/>
        </w:rPr>
      </w:pPr>
    </w:p>
    <w:p>
      <w:pPr>
        <w:ind w:left="640" w:right="140" w:hanging="313"/>
        <w:spacing w:after="0" w:line="247" w:lineRule="auto"/>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S-3;</w:t>
      </w:r>
    </w:p>
    <w:p>
      <w:pPr>
        <w:spacing w:after="0" w:line="1" w:lineRule="exact"/>
        <w:rPr>
          <w:rFonts w:ascii="Times New Roman" w:cs="Times New Roman" w:eastAsia="Times New Roman" w:hAnsi="Times New Roman"/>
          <w:sz w:val="18"/>
          <w:szCs w:val="18"/>
          <w:color w:val="auto"/>
        </w:rPr>
      </w:pPr>
    </w:p>
    <w:p>
      <w:pPr>
        <w:ind w:left="640" w:right="460" w:hanging="313"/>
        <w:spacing w:after="0" w:line="247" w:lineRule="auto"/>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spacing w:after="0" w:line="1" w:lineRule="exact"/>
        <w:rPr>
          <w:rFonts w:ascii="Times New Roman" w:cs="Times New Roman" w:eastAsia="Times New Roman" w:hAnsi="Times New Roman"/>
          <w:sz w:val="18"/>
          <w:szCs w:val="18"/>
          <w:color w:val="auto"/>
        </w:rPr>
      </w:pPr>
    </w:p>
    <w:p>
      <w:pPr>
        <w:ind w:left="640" w:hanging="313"/>
        <w:spacing w:after="0" w:line="251" w:lineRule="auto"/>
        <w:tabs>
          <w:tab w:leader="none" w:pos="6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 is responsible for, and this consent pertains to, the following Sections of the NORI Technical Report:</w:t>
      </w:r>
    </w:p>
    <w:p>
      <w:pPr>
        <w:spacing w:after="0" w:line="220" w:lineRule="exact"/>
        <w:rPr>
          <w:sz w:val="20"/>
          <w:szCs w:val="20"/>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Mineral processing and metallurgical testing</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14.1: Process design basis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14.3: Project One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18.3.2: On-shore capital cost for Project One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18.6.6: On-shore operating costs – Project One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 is responsible for, and this consent pertains to, the following Sections of the TOML Technical Report:</w:t>
      </w:r>
    </w:p>
    <w:p>
      <w:pPr>
        <w:spacing w:after="0" w:line="220" w:lineRule="exact"/>
        <w:rPr>
          <w:sz w:val="20"/>
          <w:szCs w:val="20"/>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Mineral processing and metallurgical testing</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11.9.6: Mineral processing and metallurgical testing</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 Recovery Methods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2022</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Cameron Harris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Cameron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667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Canadian Engineering Associates Ltd,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1"/>
          <w:szCs w:val="21"/>
          <w:b w:val="1"/>
          <w:bCs w:val="1"/>
          <w:color w:val="auto"/>
        </w:rPr>
        <w:t>Exhibit 23.7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 Reach Technology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10050 Cash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Stafford, TX 77477 USA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4"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color w:val="auto"/>
        </w:rPr>
        <w:t>Deep Reach Technology Inc. (“DRT”), in connection with the Registration Statement on Form S-3 of TMC the metals company Inc. and any further amendments or supplements and/or exhibits thereto (collectively, the “Form S-3”), consent to:</w:t>
      </w:r>
    </w:p>
    <w:p>
      <w:pPr>
        <w:spacing w:after="0" w:line="163" w:lineRule="exact"/>
        <w:rPr>
          <w:sz w:val="20"/>
          <w:szCs w:val="20"/>
          <w:color w:val="auto"/>
        </w:rPr>
      </w:pPr>
    </w:p>
    <w:p>
      <w:pPr>
        <w:ind w:left="640" w:right="120" w:hanging="313"/>
        <w:spacing w:after="0" w:line="254" w:lineRule="auto"/>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S-3;</w:t>
      </w:r>
    </w:p>
    <w:p>
      <w:pPr>
        <w:spacing w:after="0" w:line="2" w:lineRule="exact"/>
        <w:rPr>
          <w:rFonts w:ascii="Times New Roman" w:cs="Times New Roman" w:eastAsia="Times New Roman" w:hAnsi="Times New Roman"/>
          <w:sz w:val="18"/>
          <w:szCs w:val="18"/>
          <w:color w:val="auto"/>
        </w:rPr>
      </w:pPr>
    </w:p>
    <w:p>
      <w:pPr>
        <w:ind w:left="640" w:right="140" w:hanging="313"/>
        <w:spacing w:after="0" w:line="247" w:lineRule="auto"/>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as an exhibit to and referenced in the Form S-3;</w:t>
      </w:r>
    </w:p>
    <w:p>
      <w:pPr>
        <w:spacing w:after="0" w:line="1" w:lineRule="exact"/>
        <w:rPr>
          <w:rFonts w:ascii="Times New Roman" w:cs="Times New Roman" w:eastAsia="Times New Roman" w:hAnsi="Times New Roman"/>
          <w:sz w:val="18"/>
          <w:szCs w:val="18"/>
          <w:color w:val="auto"/>
        </w:rPr>
      </w:pPr>
    </w:p>
    <w:p>
      <w:pPr>
        <w:ind w:left="640" w:right="460" w:hanging="313"/>
        <w:spacing w:after="0" w:line="247" w:lineRule="auto"/>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 TOML Technical Report; and</w:t>
      </w:r>
    </w:p>
    <w:p>
      <w:pPr>
        <w:spacing w:after="0" w:line="1" w:lineRule="exact"/>
        <w:rPr>
          <w:rFonts w:ascii="Times New Roman" w:cs="Times New Roman" w:eastAsia="Times New Roman" w:hAnsi="Times New Roman"/>
          <w:sz w:val="18"/>
          <w:szCs w:val="18"/>
          <w:color w:val="auto"/>
        </w:rPr>
      </w:pPr>
    </w:p>
    <w:p>
      <w:pPr>
        <w:ind w:left="640" w:hanging="313"/>
        <w:spacing w:after="0" w:line="251" w:lineRule="auto"/>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and TOML Technical Report, or portions thereof, that was prepared by us, that we supervised the preparation of and/or that was reviewed and approved by us, that is included or incorporated by reference in the Form S-3.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DRT is responsible for authoring, and this consent pertains to, the following Sections of the NORI Technical Report:</w:t>
      </w:r>
    </w:p>
    <w:p>
      <w:pPr>
        <w:spacing w:after="0" w:line="220" w:lineRule="exact"/>
        <w:rPr>
          <w:sz w:val="20"/>
          <w:szCs w:val="20"/>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13.1: Development plan</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 Off-shore system concept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13.4: Collector Test and Hidden Gem conversion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 Project Zero</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13.6: Project One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15.2: Nodule transport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18.3.1: Off-shore capital costs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18.6.1: Off-shore operating costs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DRT is responsible for authoring, and this consent pertains to, the following Sections of the TOML Technical Report:</w:t>
      </w:r>
    </w:p>
    <w:p>
      <w:pPr>
        <w:spacing w:after="0" w:line="220" w:lineRule="exact"/>
        <w:rPr>
          <w:sz w:val="20"/>
          <w:szCs w:val="20"/>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11.9.5: Mining Methods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11.9.7: Infrastructure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Mining Methods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Project Infrastructure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September, 2022</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Edwin Halkyard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Edwin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667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Deep Reach Technology Inc.,</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1"/>
          <w:szCs w:val="21"/>
          <w:b w:val="1"/>
          <w:bCs w:val="1"/>
          <w:color w:val="auto"/>
        </w:rPr>
        <w:t>Exhibit 23.8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Marine Geoscience Innovation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Kalang Circuit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Coffs Harbour, 2450, NSW, Australia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Margin - Marine Geoscience Innovation (“MMGI”), in connection with the Registration Statement on Form S-3 of TMC the metals company Inc. and any further amendments or supplements and/or exhibits thereto (collectively, the “Form S-3”), consent to:</w:t>
      </w:r>
    </w:p>
    <w:p>
      <w:pPr>
        <w:spacing w:after="0" w:line="163" w:lineRule="exact"/>
        <w:rPr>
          <w:sz w:val="20"/>
          <w:szCs w:val="20"/>
          <w:color w:val="auto"/>
        </w:rPr>
      </w:pPr>
    </w:p>
    <w:p>
      <w:pPr>
        <w:ind w:left="640" w:right="120" w:hanging="313"/>
        <w:spacing w:after="0" w:line="254" w:lineRule="auto"/>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NORI Property, Clarion-Clipperton Zone, Deep Green Metals Inc.” (the “NORI Technical Report”), with an effective date of March 17, 2021 and current as of December 31, 2021, as an exhibit to and referenced in the Form S-3;</w:t>
      </w:r>
    </w:p>
    <w:p>
      <w:pPr>
        <w:spacing w:after="0" w:line="2" w:lineRule="exact"/>
        <w:rPr>
          <w:rFonts w:ascii="Times New Roman" w:cs="Times New Roman" w:eastAsia="Times New Roman" w:hAnsi="Times New Roman"/>
          <w:sz w:val="18"/>
          <w:szCs w:val="18"/>
          <w:color w:val="auto"/>
        </w:rPr>
      </w:pPr>
    </w:p>
    <w:p>
      <w:pPr>
        <w:ind w:left="640" w:right="640" w:hanging="313"/>
        <w:spacing w:after="0" w:line="247" w:lineRule="auto"/>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and references to our name, including our status as an expert or “qualified person” (as defined in Subpart 1300 of Regulation S-K promulgated by the Securities and Exchange Commission), in connection with the Form S-3 and any such NORI Technical Report; and</w:t>
      </w:r>
    </w:p>
    <w:p>
      <w:pPr>
        <w:ind w:left="640" w:right="220" w:hanging="313"/>
        <w:spacing w:after="0" w:line="255" w:lineRule="auto"/>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derived, summarized, quoted or referenced from the NORI Technical Report, or portions thereof, that was prepared by us, that we supervised the preparation of and/or that was reviewed and approved by us, that is included or incorporated by reference in the Form S-3.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MMGI is responsible for authoring, and this consent pertains to, the following Sections of the NORI Technical Report:</w:t>
      </w:r>
    </w:p>
    <w:p>
      <w:pPr>
        <w:spacing w:after="0" w:line="220" w:lineRule="exact"/>
        <w:rPr>
          <w:sz w:val="20"/>
          <w:szCs w:val="20"/>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Geological setting and mineralisation</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Exploration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 Security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this 15th day of September, 2022</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Ian Robert Stevenson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Ian Robert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667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Authorized Person for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Margin - Marine Geoscience Innovation,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Qualified Third-Party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Exhibit 23.9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Michael Parianos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1/108 River Terrace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Kangaroo Point 4169, Australia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THIRD-PARTY QUALIFIED PERSON</w:t>
      </w:r>
    </w:p>
    <w:p>
      <w:pPr>
        <w:spacing w:after="0" w:line="224"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color w:val="auto"/>
        </w:rPr>
        <w:t>John Michael Parianos, in connection with the Registration Statement on Form S-3 of TMC the metals company Inc. and any further amendments or supplements and/or exhibits thereto (collectively, the “Form S-3”), consent to:</w:t>
      </w:r>
    </w:p>
    <w:p>
      <w:pPr>
        <w:spacing w:after="0" w:line="163" w:lineRule="exact"/>
        <w:rPr>
          <w:sz w:val="20"/>
          <w:szCs w:val="20"/>
          <w:color w:val="auto"/>
        </w:rPr>
      </w:pPr>
    </w:p>
    <w:p>
      <w:pPr>
        <w:ind w:left="640" w:right="40" w:hanging="313"/>
        <w:spacing w:after="0" w:line="254" w:lineRule="auto"/>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use of the technical report summary titled “Technical Report Summary--Initial Assessment of the TOML Mineral Resource, Clarion-Clipperton Zone, Pacific Ocean, for Deep Green Metals Inc.” (the “TOML Technical Report”), with an effective date of March 17, 2021 and current as of December 31, 2021, as an exhibit to and referenced in the Form S-3;</w:t>
      </w:r>
    </w:p>
    <w:p>
      <w:pPr>
        <w:spacing w:after="0" w:line="2" w:lineRule="exact"/>
        <w:rPr>
          <w:rFonts w:ascii="Times New Roman" w:cs="Times New Roman" w:eastAsia="Times New Roman" w:hAnsi="Times New Roman"/>
          <w:sz w:val="18"/>
          <w:szCs w:val="18"/>
          <w:color w:val="auto"/>
        </w:rPr>
      </w:pPr>
    </w:p>
    <w:p>
      <w:pPr>
        <w:ind w:left="640" w:right="660" w:hanging="313"/>
        <w:spacing w:after="0" w:line="262" w:lineRule="auto"/>
        <w:tabs>
          <w:tab w:leader="none" w:pos="6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and references to my name, including my status as an expert or “qualified person” (as defined in Subpart 1300 of Regulation S-K promulgated by the Securities and Exchange Commission), in connection with the Form S-3 and any such TOML Technical Report; and</w:t>
      </w:r>
    </w:p>
    <w:p>
      <w:pPr>
        <w:ind w:left="640" w:right="240" w:hanging="313"/>
        <w:spacing w:after="0" w:line="284" w:lineRule="auto"/>
        <w:tabs>
          <w:tab w:leader="none" w:pos="6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derived, summarized, quoted or referenced from the TOML Technical Report, or portions thereof, that was prepared by me, that I supervised the preparation of and/or that was reviewed and approved by me, that is included or incorporated by reference in the Form S-3.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a qualified person responsible for authoring, and this consent pertains to, the following Sections of the TOML Technical Report:</w:t>
      </w:r>
    </w:p>
    <w:p>
      <w:pPr>
        <w:spacing w:after="0" w:line="220" w:lineRule="exact"/>
        <w:rPr>
          <w:sz w:val="20"/>
          <w:szCs w:val="20"/>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Accessibility, Climate, Local Resources, Infrastructure and Physiography</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History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Geological Setting and Mineralisation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Exploration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1: Summary</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22: Interpretation and conclusions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23: Recommendations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24: References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Subsections of Section 25: Reliance on information provided by the registrant</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September, 2022</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Michael Parianos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Michael Parianos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667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Qualified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7" w:name="page138"/>
    <w:bookmarkEnd w:id="137"/>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Form S-3</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 Type)</w:t>
      </w:r>
    </w:p>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u w:val="single" w:color="auto"/>
          <w:color w:val="auto"/>
        </w:rPr>
        <w:t>TMC the metal company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Table I: Newly Registered and Carry Forward Securities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860" w:type="dxa"/>
            <w:vAlign w:val="bottom"/>
            <w:tcBorders>
              <w:top w:val="single" w:sz="8" w:color="auto"/>
              <w:left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Fee</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10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114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Previously Paid</w:t>
            </w: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7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In Connection</w:t>
            </w: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Security</w:t>
            </w:r>
          </w:p>
        </w:tc>
        <w:tc>
          <w:tcPr>
            <w:tcW w:w="78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color w:val="auto"/>
              </w:rPr>
              <w:t>Calculation</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Maximum</w:t>
            </w:r>
          </w:p>
        </w:tc>
        <w:tc>
          <w:tcPr>
            <w:tcW w:w="102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6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Forward</w:t>
            </w:r>
          </w:p>
        </w:tc>
        <w:tc>
          <w:tcPr>
            <w:tcW w:w="11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with Unsold</w:t>
            </w: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820" w:type="dxa"/>
            <w:vAlign w:val="bottom"/>
            <w:tcBorders>
              <w:right w:val="single" w:sz="8" w:color="auto"/>
            </w:tcBorders>
            <w:vMerge w:val="continue"/>
          </w:tcPr>
          <w:p>
            <w:pPr>
              <w:spacing w:after="0"/>
              <w:rPr>
                <w:sz w:val="12"/>
                <w:szCs w:val="12"/>
                <w:color w:val="auto"/>
              </w:rPr>
            </w:pPr>
          </w:p>
        </w:tc>
        <w:tc>
          <w:tcPr>
            <w:tcW w:w="780" w:type="dxa"/>
            <w:vAlign w:val="bottom"/>
          </w:tcPr>
          <w:p>
            <w:pPr>
              <w:jc w:val="center"/>
              <w:ind w:left="9"/>
              <w:spacing w:after="0" w:line="147" w:lineRule="exact"/>
              <w:rPr>
                <w:sz w:val="20"/>
                <w:szCs w:val="20"/>
                <w:color w:val="auto"/>
              </w:rPr>
            </w:pPr>
            <w:r>
              <w:rPr>
                <w:rFonts w:ascii="Times New Roman" w:cs="Times New Roman" w:eastAsia="Times New Roman" w:hAnsi="Times New Roman"/>
                <w:sz w:val="14"/>
                <w:szCs w:val="14"/>
                <w:color w:val="auto"/>
                <w:w w:val="97"/>
              </w:rPr>
              <w:t>or Carry</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Offering</w:t>
            </w:r>
          </w:p>
        </w:tc>
        <w:tc>
          <w:tcPr>
            <w:tcW w:w="10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Aggregate</w:t>
            </w:r>
          </w:p>
        </w:tc>
        <w:tc>
          <w:tcPr>
            <w:tcW w:w="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Forward</w:t>
            </w:r>
          </w:p>
        </w:tc>
        <w:tc>
          <w:tcPr>
            <w:tcW w:w="7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Forward</w:t>
            </w:r>
          </w:p>
        </w:tc>
        <w:tc>
          <w:tcPr>
            <w:tcW w:w="7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Initial</w:t>
            </w:r>
          </w:p>
        </w:tc>
        <w:tc>
          <w:tcPr>
            <w:tcW w:w="11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Securities to be</w:t>
            </w: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4"/>
                <w:szCs w:val="14"/>
                <w:color w:val="auto"/>
              </w:rPr>
              <w:t>Class Title</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Forward</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Price Per</w:t>
            </w:r>
          </w:p>
        </w:tc>
        <w:tc>
          <w:tcPr>
            <w:tcW w:w="10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Offering Price</w:t>
            </w:r>
          </w:p>
        </w:tc>
        <w:tc>
          <w:tcPr>
            <w:tcW w:w="60" w:type="dxa"/>
            <w:vAlign w:val="bottom"/>
          </w:tcPr>
          <w:p>
            <w:pPr>
              <w:spacing w:after="0"/>
              <w:rPr>
                <w:sz w:val="12"/>
                <w:szCs w:val="12"/>
                <w:color w:val="auto"/>
              </w:rPr>
            </w:pPr>
          </w:p>
        </w:tc>
        <w:tc>
          <w:tcPr>
            <w:tcW w:w="7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Fee Rate</w:t>
            </w:r>
          </w:p>
        </w:tc>
        <w:tc>
          <w:tcPr>
            <w:tcW w:w="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Registration</w:t>
            </w:r>
          </w:p>
        </w:tc>
        <w:tc>
          <w:tcPr>
            <w:tcW w:w="6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Form</w:t>
            </w:r>
          </w:p>
        </w:tc>
        <w:tc>
          <w:tcPr>
            <w:tcW w:w="7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File</w:t>
            </w:r>
          </w:p>
        </w:tc>
        <w:tc>
          <w:tcPr>
            <w:tcW w:w="7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Effective</w:t>
            </w:r>
          </w:p>
        </w:tc>
        <w:tc>
          <w:tcPr>
            <w:tcW w:w="11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Carried</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8"/>
              </w:rPr>
              <w:t>Rule</w:t>
            </w: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Registered (2)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 (3)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(2)(3)(4)</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140"/>
        </w:trPr>
        <w:tc>
          <w:tcPr>
            <w:tcW w:w="860" w:type="dxa"/>
            <w:vAlign w:val="bottom"/>
            <w:tcBorders>
              <w:left w:val="single" w:sz="8" w:color="auto"/>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center"/>
              <w:ind w:right="249"/>
              <w:spacing w:after="0" w:line="140" w:lineRule="exact"/>
              <w:rPr>
                <w:sz w:val="20"/>
                <w:szCs w:val="20"/>
                <w:color w:val="auto"/>
              </w:rPr>
            </w:pPr>
            <w:r>
              <w:rPr>
                <w:rFonts w:ascii="Times New Roman" w:cs="Times New Roman" w:eastAsia="Times New Roman" w:hAnsi="Times New Roman"/>
                <w:sz w:val="14"/>
                <w:szCs w:val="14"/>
                <w:color w:val="auto"/>
              </w:rPr>
              <w:t>Newly Registered Securities</w:t>
            </w:r>
          </w:p>
        </w:tc>
        <w:tc>
          <w:tcPr>
            <w:tcW w:w="9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Common</w:t>
            </w: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Shares, no</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2"/>
                <w:szCs w:val="12"/>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par value</w:t>
            </w: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Preferred</w:t>
            </w: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Shares, no</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2"/>
                <w:szCs w:val="12"/>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par value</w:t>
            </w: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Fees to Be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8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Debt</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Fees to Be</w:t>
            </w:r>
          </w:p>
        </w:tc>
        <w:tc>
          <w:tcPr>
            <w:tcW w:w="90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Warrants</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Fees to Be</w:t>
            </w:r>
          </w:p>
        </w:tc>
        <w:tc>
          <w:tcPr>
            <w:tcW w:w="90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Units (5)</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0"/>
                <w:szCs w:val="10"/>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0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Unallocated</w:t>
            </w:r>
          </w:p>
        </w:tc>
        <w:tc>
          <w:tcPr>
            <w:tcW w:w="8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(Universal)</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457(o)</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$100,000,000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$100,000,000</w:t>
            </w:r>
          </w:p>
        </w:tc>
        <w:tc>
          <w:tcPr>
            <w:tcW w:w="60" w:type="dxa"/>
            <w:vAlign w:val="bottom"/>
          </w:tcPr>
          <w:p>
            <w:pPr>
              <w:spacing w:after="0"/>
              <w:rPr>
                <w:sz w:val="12"/>
                <w:szCs w:val="12"/>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0.0000927</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$9,270.00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Shelf</w:t>
            </w: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Common</w:t>
            </w: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38,266,180</w:t>
            </w: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Shares, no</w:t>
            </w:r>
          </w:p>
        </w:tc>
        <w:tc>
          <w:tcPr>
            <w:tcW w:w="7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457(c)</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 (7)</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$38,266,180</w:t>
            </w:r>
          </w:p>
        </w:tc>
        <w:tc>
          <w:tcPr>
            <w:tcW w:w="60" w:type="dxa"/>
            <w:vAlign w:val="bottom"/>
          </w:tcPr>
          <w:p>
            <w:pPr>
              <w:spacing w:after="0"/>
              <w:rPr>
                <w:sz w:val="12"/>
                <w:szCs w:val="12"/>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0.0000927</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$3,547.28</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par value</w:t>
            </w: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Fees</w:t>
            </w:r>
          </w:p>
        </w:tc>
        <w:tc>
          <w:tcPr>
            <w:tcW w:w="9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Previously</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2"/>
                <w:szCs w:val="12"/>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Paid</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auto"/>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center"/>
              <w:ind w:left="369"/>
              <w:spacing w:after="0" w:line="140" w:lineRule="exact"/>
              <w:rPr>
                <w:sz w:val="20"/>
                <w:szCs w:val="20"/>
                <w:color w:val="auto"/>
              </w:rPr>
            </w:pPr>
            <w:r>
              <w:rPr>
                <w:rFonts w:ascii="Times New Roman" w:cs="Times New Roman" w:eastAsia="Times New Roman" w:hAnsi="Times New Roman"/>
                <w:sz w:val="14"/>
                <w:szCs w:val="14"/>
                <w:color w:val="auto"/>
              </w:rPr>
              <w:t>Carry Forward Securities</w:t>
            </w:r>
          </w:p>
        </w:tc>
        <w:tc>
          <w:tcPr>
            <w:tcW w:w="7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Carry</w:t>
            </w:r>
          </w:p>
        </w:tc>
        <w:tc>
          <w:tcPr>
            <w:tcW w:w="9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60" w:type="dxa"/>
            <w:vAlign w:val="bottom"/>
            <w:tcBorders>
              <w:left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Forward</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Pr>
          <w:p>
            <w:pPr>
              <w:spacing w:after="0"/>
              <w:rPr>
                <w:sz w:val="12"/>
                <w:szCs w:val="12"/>
                <w:color w:val="auto"/>
              </w:rPr>
            </w:pPr>
          </w:p>
        </w:tc>
        <w:tc>
          <w:tcPr>
            <w:tcW w:w="76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w w:val="84"/>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vMerge w:val="continue"/>
          </w:tcPr>
          <w:p>
            <w:pPr>
              <w:spacing w:after="0"/>
              <w:rPr>
                <w:sz w:val="14"/>
                <w:szCs w:val="14"/>
                <w:color w:val="auto"/>
              </w:rPr>
            </w:pPr>
          </w:p>
        </w:tc>
        <w:tc>
          <w:tcPr>
            <w:tcW w:w="11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gridSpan w:val="3"/>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rPr>
              <w:t>Total Offering Amount</w:t>
            </w:r>
          </w:p>
        </w:tc>
        <w:tc>
          <w:tcPr>
            <w:tcW w:w="8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$138,266,180</w:t>
            </w: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$12,817.28</w:t>
            </w:r>
          </w:p>
        </w:tc>
        <w:tc>
          <w:tcPr>
            <w:tcW w:w="6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900" w:type="dxa"/>
            <w:vAlign w:val="bottom"/>
            <w:tcBorders>
              <w:bottom w:val="single" w:sz="8" w:color="auto"/>
              <w:right w:val="single" w:sz="8" w:color="auto"/>
            </w:tcBorders>
            <w:gridSpan w:val="3"/>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rPr>
              <w:t>Total Fees Previously Paid</w:t>
            </w:r>
          </w:p>
        </w:tc>
        <w:tc>
          <w:tcPr>
            <w:tcW w:w="8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bottom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gridSpan w:val="2"/>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rPr>
              <w:t>Total Fee Offsets</w:t>
            </w:r>
          </w:p>
        </w:tc>
        <w:tc>
          <w:tcPr>
            <w:tcW w:w="8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bottom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rPr>
              <w:t>Net Fee Due</w:t>
            </w:r>
          </w:p>
        </w:tc>
        <w:tc>
          <w:tcPr>
            <w:tcW w:w="8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$12,817.28</w:t>
            </w:r>
          </w:p>
        </w:tc>
        <w:tc>
          <w:tcPr>
            <w:tcW w:w="6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00" w:hanging="193"/>
        <w:spacing w:after="0"/>
        <w:tabs>
          <w:tab w:leader="none" w:pos="2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registered hereunder may be sold separately or as units with other securities registered hereunder.</w:t>
      </w:r>
    </w:p>
    <w:p>
      <w:pPr>
        <w:spacing w:after="0" w:line="1" w:lineRule="exact"/>
        <w:rPr>
          <w:rFonts w:ascii="Times New Roman" w:cs="Times New Roman" w:eastAsia="Times New Roman" w:hAnsi="Times New Roman"/>
          <w:sz w:val="14"/>
          <w:szCs w:val="14"/>
          <w:color w:val="auto"/>
        </w:rPr>
      </w:pPr>
    </w:p>
    <w:p>
      <w:pPr>
        <w:ind w:right="60" w:firstLine="7"/>
        <w:spacing w:after="0"/>
        <w:tabs>
          <w:tab w:leader="none" w:pos="201"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Unallocated (Universal) Shelf, there are being registered hereunder such indeterminate number of common shares and preferred shares, such indeterminate principal amount of debt securities, such indeterminate number of warrants to purchase common shares, preferred shares or debt securities, and such indeterminate number of units,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common shares and preferred shares and amount of debt securities as may be issued upon conversion of or exchange for preferred shares or debt securities that provide for conversion or exchange, upon exercise of warrants or pursuant to the anti-dilution provisions of any such securities. In addition, pursuant to Rule 416 under the Securities Act of 1933, as amended, or the Securities Act, the shares being registered hereunder include such indeterminate number of common shares and preferred shares as may be issuable with respect to the shares being registered hereunder as a result of stock splits, stock dividends or similar transactions.</w:t>
      </w:r>
    </w:p>
    <w:p>
      <w:pPr>
        <w:spacing w:after="0" w:line="18" w:lineRule="exact"/>
        <w:rPr>
          <w:rFonts w:ascii="Times New Roman" w:cs="Times New Roman" w:eastAsia="Times New Roman" w:hAnsi="Times New Roman"/>
          <w:sz w:val="14"/>
          <w:szCs w:val="14"/>
          <w:color w:val="auto"/>
        </w:rPr>
      </w:pPr>
    </w:p>
    <w:p>
      <w:pPr>
        <w:ind w:right="100" w:firstLine="7"/>
        <w:spacing w:after="0" w:line="218" w:lineRule="auto"/>
        <w:tabs>
          <w:tab w:leader="none" w:pos="201"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Unallocated (Universal) Shelf,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w:t>
      </w:r>
    </w:p>
    <w:p>
      <w:pPr>
        <w:spacing w:after="0" w:line="1" w:lineRule="exact"/>
        <w:rPr>
          <w:rFonts w:ascii="Times New Roman" w:cs="Times New Roman" w:eastAsia="Times New Roman" w:hAnsi="Times New Roman"/>
          <w:sz w:val="14"/>
          <w:szCs w:val="14"/>
          <w:color w:val="auto"/>
        </w:rPr>
      </w:pPr>
    </w:p>
    <w:p>
      <w:pPr>
        <w:ind w:left="200" w:hanging="193"/>
        <w:spacing w:after="0" w:line="218" w:lineRule="auto"/>
        <w:tabs>
          <w:tab w:leader="none" w:pos="2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Unallocated (Universal) Shelf, estimated solely for the purpose of calculating the registration fee pursuant to Rule 457(o) under the Securities Act of 1933, as amended.</w:t>
      </w:r>
    </w:p>
    <w:p>
      <w:pPr>
        <w:ind w:left="200" w:hanging="193"/>
        <w:spacing w:after="0" w:line="218" w:lineRule="auto"/>
        <w:tabs>
          <w:tab w:leader="none" w:pos="2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Consisting of some or all of the securities listed above, in any combination, including common shares, preferred shares, warrants and debt securities.</w:t>
      </w:r>
    </w:p>
    <w:p>
      <w:pPr>
        <w:ind w:right="160" w:firstLine="7"/>
        <w:spacing w:after="0" w:line="218" w:lineRule="auto"/>
        <w:tabs>
          <w:tab w:leader="none" w:pos="201"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common shares issued or issuable to the selling shareholders in private placement transactions or for advisory services rendered to the registrant. In addition, pursuant to Rule 416 under the Securities Act, the shares being registered hereunder include such indeterminate number of common shares as may be issuable with respect to the common shares being registered hereunder as a result of share splits, dividends or similar transactions.</w:t>
      </w:r>
    </w:p>
    <w:p>
      <w:pPr>
        <w:spacing w:after="0" w:line="1" w:lineRule="exact"/>
        <w:rPr>
          <w:rFonts w:ascii="Times New Roman" w:cs="Times New Roman" w:eastAsia="Times New Roman" w:hAnsi="Times New Roman"/>
          <w:sz w:val="14"/>
          <w:szCs w:val="14"/>
          <w:color w:val="auto"/>
        </w:rPr>
      </w:pPr>
    </w:p>
    <w:p>
      <w:pPr>
        <w:ind w:right="140" w:firstLine="7"/>
        <w:spacing w:after="0" w:line="235" w:lineRule="auto"/>
        <w:tabs>
          <w:tab w:leader="none" w:pos="201"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457(c) under the Securities Act, the aggregate offering price of the common shares is estimated solely for the calculation of the registration fees due for this filing. This estimate was based on the average of the high and low sales price of our common shares reported on The Nasdaq Global Select Market on September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300"/>
      </w:cols>
      <w:pgMar w:left="320" w:top="35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lowerRoman"/>
      <w:start w:val="3"/>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lvl w:ilvl="1">
      <w:lvlJc w:val="left"/>
      <w:lvlText w:val="(%2)"/>
      <w:numFmt w:val="decimal"/>
      <w:start w:val="1"/>
    </w:lvl>
  </w:abstractNum>
  <w:abstractNum w:abstractNumId="5">
    <w:nsid w:val="100F59DC"/>
    <w:multiLevelType w:val="hybridMultilevel"/>
    <w:lvl w:ilvl="0">
      <w:lvlJc w:val="left"/>
      <w:lvlText w:val="(%1)"/>
      <w:numFmt w:val="decimal"/>
      <w:start w:val="6"/>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1)"/>
      <w:numFmt w:val="lowerRoman"/>
      <w:start w:val="10"/>
    </w:lvl>
  </w:abstractNum>
  <w:abstractNum w:abstractNumId="23">
    <w:nsid w:val="CC1016F"/>
    <w:multiLevelType w:val="hybridMultilevel"/>
    <w:lvl w:ilvl="0">
      <w:lvlJc w:val="left"/>
      <w:lvlText w:val="(%1)"/>
      <w:numFmt w:val="lowerRoman"/>
      <w:start w:val="2"/>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1)"/>
      <w:numFmt w:val="lowerRoman"/>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1)"/>
      <w:numFmt w:val="decimal"/>
      <w:start w:val="1"/>
    </w:lvl>
  </w:abstractNum>
  <w:abstractNum w:abstractNumId="38">
    <w:nsid w:val="7D5E18F8"/>
    <w:multiLevelType w:val="hybridMultilevel"/>
    <w:lvl w:ilvl="0">
      <w:lvlJc w:val="left"/>
      <w:lvlText w:val="(%1)"/>
      <w:numFmt w:val="lowerRoman"/>
      <w:start w:val="2"/>
    </w:lvl>
  </w:abstractNum>
  <w:abstractNum w:abstractNumId="39">
    <w:nsid w:val="5F3534A4"/>
    <w:multiLevelType w:val="hybridMultilevel"/>
    <w:lvl w:ilvl="0">
      <w:lvlJc w:val="left"/>
      <w:lvlText w:val="(%1)"/>
      <w:numFmt w:val="decimal"/>
      <w:start w:val="2"/>
    </w:lvl>
  </w:abstractNum>
  <w:abstractNum w:abstractNumId="40">
    <w:nsid w:val="73A1821B"/>
    <w:multiLevelType w:val="hybridMultilevel"/>
    <w:lvl w:ilvl="0">
      <w:lvlJc w:val="left"/>
      <w:lvlText w:val="(%1)"/>
      <w:numFmt w:val="lowerRoman"/>
      <w:start w:val="1"/>
    </w:lvl>
  </w:abstractNum>
  <w:abstractNum w:abstractNumId="41">
    <w:nsid w:val="7DE67713"/>
    <w:multiLevelType w:val="hybridMultilevel"/>
    <w:lvl w:ilvl="0">
      <w:lvlJc w:val="left"/>
      <w:lvlText w:val="(%1)"/>
      <w:numFmt w:val="decimal"/>
      <w:start w:val="5"/>
    </w:lvl>
  </w:abstractNum>
  <w:abstractNum w:abstractNumId="42">
    <w:nsid w:val="555C55B5"/>
    <w:multiLevelType w:val="hybridMultilevel"/>
    <w:lvl w:ilvl="0">
      <w:lvlJc w:val="left"/>
      <w:lvlText w:val="(%1)"/>
      <w:numFmt w:val="lowerRoman"/>
      <w:start w:val="1"/>
    </w:lvl>
  </w:abstractNum>
  <w:abstractNum w:abstractNumId="43">
    <w:nsid w:val="3FA62ACA"/>
    <w:multiLevelType w:val="hybridMultilevel"/>
    <w:lvl w:ilvl="0">
      <w:lvlJc w:val="left"/>
      <w:lvlText w:val="(%1)"/>
      <w:numFmt w:val="lowerRoman"/>
      <w:start w:val="1"/>
    </w:lvl>
  </w:abstractNum>
  <w:abstractNum w:abstractNumId="44">
    <w:nsid w:val="14FCE74E"/>
    <w:multiLevelType w:val="hybridMultilevel"/>
    <w:lvl w:ilvl="0">
      <w:lvlJc w:val="left"/>
      <w:lvlText w:val="(%1)"/>
      <w:numFmt w:val="lowerLetter"/>
      <w:start w:val="3"/>
    </w:lvl>
  </w:abstractNum>
  <w:abstractNum w:abstractNumId="45">
    <w:nsid w:val="6A3DD3E8"/>
    <w:multiLevelType w:val="hybridMultilevel"/>
    <w:lvl w:ilvl="0">
      <w:lvlJc w:val="left"/>
      <w:lvlText w:val="(%1)"/>
      <w:numFmt w:val="decimal"/>
      <w:start w:val="1"/>
    </w:lvl>
  </w:abstractNum>
  <w:abstractNum w:abstractNumId="46">
    <w:nsid w:val="71C91298"/>
    <w:multiLevelType w:val="hybridMultilevel"/>
    <w:lvl w:ilvl="0">
      <w:lvlJc w:val="left"/>
      <w:lvlText w:val="(%1)"/>
      <w:numFmt w:val="decimal"/>
      <w:start w:val="2"/>
    </w:lvl>
  </w:abstractNum>
  <w:abstractNum w:abstractNumId="47">
    <w:nsid w:val="9DAF632"/>
    <w:multiLevelType w:val="hybridMultilevel"/>
    <w:lvl w:ilvl="0">
      <w:lvlJc w:val="left"/>
      <w:lvlText w:val="(%1)"/>
      <w:numFmt w:val="lowerLetter"/>
      <w:start w:val="1"/>
    </w:lvl>
  </w:abstractNum>
  <w:abstractNum w:abstractNumId="48">
    <w:nsid w:val="53299938"/>
    <w:multiLevelType w:val="hybridMultilevel"/>
    <w:lvl w:ilvl="0">
      <w:lvlJc w:val="left"/>
      <w:lvlText w:val="(%1)"/>
      <w:numFmt w:val="decimal"/>
      <w:start w:val="1"/>
    </w:lvl>
  </w:abstractNum>
  <w:abstractNum w:abstractNumId="49">
    <w:nsid w:val="1FBFE8E0"/>
    <w:multiLevelType w:val="hybridMultilevel"/>
    <w:lvl w:ilvl="0">
      <w:lvlJc w:val="left"/>
      <w:lvlText w:val="(%1)"/>
      <w:numFmt w:val="decimal"/>
      <w:start w:val="2"/>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1)"/>
      <w:numFmt w:val="lowerLetter"/>
      <w:start w:val="1"/>
    </w:lvl>
  </w:abstractNum>
  <w:abstractNum w:abstractNumId="52">
    <w:nsid w:val="59ADEA3D"/>
    <w:multiLevelType w:val="hybridMultilevel"/>
    <w:lvl w:ilvl="0">
      <w:lvlJc w:val="left"/>
      <w:lvlText w:val="(%1)"/>
      <w:numFmt w:val="lowerLetter"/>
      <w:start w:val="3"/>
    </w:lvl>
  </w:abstractNum>
  <w:abstractNum w:abstractNumId="53">
    <w:nsid w:val="288F1A34"/>
    <w:multiLevelType w:val="hybridMultilevel"/>
    <w:lvl w:ilvl="0">
      <w:lvlJc w:val="left"/>
      <w:lvlText w:val="(%1)"/>
      <w:numFmt w:val="lowerLetter"/>
      <w:start w:val="1"/>
    </w:lvl>
  </w:abstractNum>
  <w:abstractNum w:abstractNumId="54">
    <w:nsid w:val="2A155DBC"/>
    <w:multiLevelType w:val="hybridMultilevel"/>
    <w:lvl w:ilvl="0">
      <w:lvlJc w:val="left"/>
      <w:lvlText w:val="(%1)"/>
      <w:numFmt w:val="lowerLetter"/>
      <w:start w:val="1"/>
    </w:lvl>
  </w:abstractNum>
  <w:abstractNum w:abstractNumId="55">
    <w:nsid w:val="1D9F6E5F"/>
    <w:multiLevelType w:val="hybridMultilevel"/>
    <w:lvl w:ilvl="0">
      <w:lvlJc w:val="left"/>
      <w:lvlText w:val="(%1)"/>
      <w:numFmt w:val="lowerLetter"/>
      <w:start w:val="2"/>
    </w:lvl>
  </w:abstractNum>
  <w:abstractNum w:abstractNumId="56">
    <w:nsid w:val="97E1B4E"/>
    <w:multiLevelType w:val="hybridMultilevel"/>
    <w:lvl w:ilvl="0">
      <w:lvlJc w:val="left"/>
      <w:lvlText w:val="(%1)"/>
      <w:numFmt w:val="lowerLetter"/>
      <w:start w:val="1"/>
    </w:lvl>
  </w:abstractNum>
  <w:abstractNum w:abstractNumId="57">
    <w:nsid w:val="51088277"/>
    <w:multiLevelType w:val="hybridMultilevel"/>
    <w:lvl w:ilvl="0">
      <w:lvlJc w:val="left"/>
      <w:lvlText w:val="(%1)"/>
      <w:numFmt w:val="lowerLetter"/>
      <w:start w:val="2"/>
    </w:lvl>
  </w:abstractNum>
  <w:abstractNum w:abstractNumId="58">
    <w:nsid w:val="1CA0C5FA"/>
    <w:multiLevelType w:val="hybridMultilevel"/>
    <w:lvl w:ilvl="0">
      <w:lvlJc w:val="left"/>
      <w:lvlText w:val="(%1)"/>
      <w:numFmt w:val="lowerLetter"/>
      <w:start w:val="1"/>
    </w:lvl>
  </w:abstractNum>
  <w:abstractNum w:abstractNumId="59">
    <w:nsid w:val="53584BCB"/>
    <w:multiLevelType w:val="hybridMultilevel"/>
    <w:lvl w:ilvl="0">
      <w:lvlJc w:val="left"/>
      <w:lvlText w:val="(%1)"/>
      <w:numFmt w:val="decimal"/>
      <w:start w:val="1"/>
    </w:lvl>
  </w:abstractNum>
  <w:abstractNum w:abstractNumId="60">
    <w:nsid w:val="415E286C"/>
    <w:multiLevelType w:val="hybridMultilevel"/>
    <w:lvl w:ilvl="0">
      <w:lvlJc w:val="left"/>
      <w:lvlText w:val="(%1)"/>
      <w:numFmt w:val="lowerLetter"/>
      <w:start w:val="2"/>
    </w:lvl>
  </w:abstractNum>
  <w:abstractNum w:abstractNumId="61">
    <w:nsid w:val="7C58FD05"/>
    <w:multiLevelType w:val="hybridMultilevel"/>
    <w:lvl w:ilvl="0">
      <w:lvlJc w:val="left"/>
      <w:lvlText w:val="(%1)"/>
      <w:numFmt w:val="lowerLetter"/>
      <w:start w:val="3"/>
    </w:lvl>
  </w:abstractNum>
  <w:abstractNum w:abstractNumId="62">
    <w:nsid w:val="23D86AAC"/>
    <w:multiLevelType w:val="hybridMultilevel"/>
    <w:lvl w:ilvl="0">
      <w:lvlJc w:val="left"/>
      <w:lvlText w:val="(%1)"/>
      <w:numFmt w:val="lowerLetter"/>
      <w:start w:val="1"/>
    </w:lvl>
  </w:abstractNum>
  <w:abstractNum w:abstractNumId="63">
    <w:nsid w:val="45E6D486"/>
    <w:multiLevelType w:val="hybridMultilevel"/>
    <w:lvl w:ilvl="0">
      <w:lvlJc w:val="left"/>
      <w:lvlText w:val="(%1)"/>
      <w:numFmt w:val="lowerLetter"/>
      <w:start w:val="2"/>
    </w:lvl>
  </w:abstractNum>
  <w:abstractNum w:abstractNumId="64">
    <w:nsid w:val="5C10FE21"/>
    <w:multiLevelType w:val="hybridMultilevel"/>
    <w:lvl w:ilvl="0">
      <w:lvlJc w:val="left"/>
      <w:lvlText w:val="(%1)"/>
      <w:numFmt w:val="lowerLetter"/>
      <w:start w:val="1"/>
    </w:lvl>
  </w:abstractNum>
  <w:abstractNum w:abstractNumId="65">
    <w:nsid w:val="E7FFA2B"/>
    <w:multiLevelType w:val="hybridMultilevel"/>
    <w:lvl w:ilvl="0">
      <w:lvlJc w:val="left"/>
      <w:lvlText w:val="(%1)"/>
      <w:numFmt w:val="lowerLetter"/>
      <w:start w:val="1"/>
    </w:lvl>
  </w:abstractNum>
  <w:abstractNum w:abstractNumId="66">
    <w:nsid w:val="3C5991AA"/>
    <w:multiLevelType w:val="hybridMultilevel"/>
    <w:lvl w:ilvl="0">
      <w:lvlJc w:val="left"/>
      <w:lvlText w:val="(%1)"/>
      <w:numFmt w:val="lowerLetter"/>
      <w:start w:val="1"/>
    </w:lvl>
  </w:abstractNum>
  <w:abstractNum w:abstractNumId="67">
    <w:nsid w:val="4BD8591A"/>
    <w:multiLevelType w:val="hybridMultilevel"/>
    <w:lvl w:ilvl="0">
      <w:lvlJc w:val="left"/>
      <w:lvlText w:val="(%1)"/>
      <w:numFmt w:val="decimal"/>
      <w:start w:val="1"/>
    </w:lvl>
  </w:abstractNum>
  <w:abstractNum w:abstractNumId="68">
    <w:nsid w:val="78DF6A55"/>
    <w:multiLevelType w:val="hybridMultilevel"/>
    <w:lvl w:ilvl="0">
      <w:lvlJc w:val="left"/>
      <w:lvlText w:val="(%1)"/>
      <w:numFmt w:val="decimal"/>
      <w:start w:val="4"/>
    </w:lvl>
  </w:abstractNum>
  <w:abstractNum w:abstractNumId="69">
    <w:nsid w:val="39B7AAA2"/>
    <w:multiLevelType w:val="hybridMultilevel"/>
    <w:lvl w:ilvl="0">
      <w:lvlJc w:val="left"/>
      <w:lvlText w:val="(%1)"/>
      <w:numFmt w:val="lowerLetter"/>
      <w:start w:val="2"/>
    </w:lvl>
  </w:abstractNum>
  <w:abstractNum w:abstractNumId="70">
    <w:nsid w:val="2B0D8DBE"/>
    <w:multiLevelType w:val="hybridMultilevel"/>
    <w:lvl w:ilvl="0">
      <w:lvlJc w:val="left"/>
      <w:lvlText w:val="(%1)"/>
      <w:numFmt w:val="lowerLetter"/>
      <w:start w:val="1"/>
    </w:lvl>
  </w:abstractNum>
  <w:abstractNum w:abstractNumId="71">
    <w:nsid w:val="6C80EC70"/>
    <w:multiLevelType w:val="hybridMultilevel"/>
    <w:lvl w:ilvl="0">
      <w:lvlJc w:val="left"/>
      <w:lvlText w:val="(%1)"/>
      <w:numFmt w:val="lowerLetter"/>
      <w:start w:val="3"/>
    </w:lvl>
  </w:abstractNum>
  <w:abstractNum w:abstractNumId="72">
    <w:nsid w:val="379E21B5"/>
    <w:multiLevelType w:val="hybridMultilevel"/>
    <w:lvl w:ilvl="0">
      <w:lvlJc w:val="left"/>
      <w:lvlText w:val="(%1)"/>
      <w:numFmt w:val="lowerLetter"/>
      <w:start w:val="1"/>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decimal"/>
      <w:start w:val="1"/>
    </w:lvl>
  </w:abstractNum>
  <w:abstractNum w:abstractNumId="75">
    <w:nsid w:val="4C9B0904"/>
    <w:multiLevelType w:val="hybridMultilevel"/>
    <w:lvl w:ilvl="0">
      <w:lvlJc w:val="left"/>
      <w:lvlText w:val="(%1)"/>
      <w:numFmt w:val="lowerRoman"/>
      <w:start w:val="1"/>
    </w:lvl>
  </w:abstractNum>
  <w:abstractNum w:abstractNumId="76">
    <w:nsid w:val="6AA7B75C"/>
    <w:multiLevelType w:val="hybridMultilevel"/>
    <w:lvl w:ilvl="0">
      <w:lvlJc w:val="left"/>
      <w:lvlText w:val="(%1)"/>
      <w:numFmt w:val="decimal"/>
      <w:start w:val="2"/>
    </w:lvl>
  </w:abstractNum>
  <w:abstractNum w:abstractNumId="77">
    <w:nsid w:val="1DF029D3"/>
    <w:multiLevelType w:val="hybridMultilevel"/>
    <w:lvl w:ilvl="0">
      <w:lvlJc w:val="left"/>
      <w:lvlText w:val="(%1)"/>
      <w:numFmt w:val="lowerLetter"/>
      <w:start w:val="1"/>
    </w:lvl>
  </w:abstractNum>
  <w:abstractNum w:abstractNumId="78">
    <w:nsid w:val="5675FF36"/>
    <w:multiLevelType w:val="hybridMultilevel"/>
    <w:lvl w:ilvl="0">
      <w:lvlJc w:val="left"/>
      <w:lvlText w:val="(%1)"/>
      <w:numFmt w:val="lowerLetter"/>
      <w:start w:val="3"/>
    </w:lvl>
  </w:abstractNum>
  <w:abstractNum w:abstractNumId="79">
    <w:nsid w:val="3DD15094"/>
    <w:multiLevelType w:val="hybridMultilevel"/>
    <w:lvl w:ilvl="0">
      <w:lvlJc w:val="left"/>
      <w:lvlText w:val="(%1)"/>
      <w:numFmt w:val="lowerLetter"/>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2"/>
    </w:lvl>
  </w:abstractNum>
  <w:abstractNum w:abstractNumId="82">
    <w:nsid w:val="5B25ACE2"/>
    <w:multiLevelType w:val="hybridMultilevel"/>
    <w:lvl w:ilvl="0">
      <w:lvlJc w:val="left"/>
      <w:lvlText w:val="(%1)"/>
      <w:numFmt w:val="lowerLetter"/>
      <w:start w:val="1"/>
    </w:lvl>
  </w:abstractNum>
  <w:abstractNum w:abstractNumId="83">
    <w:nsid w:val="175DFCF0"/>
    <w:multiLevelType w:val="hybridMultilevel"/>
    <w:lvl w:ilvl="0">
      <w:lvlJc w:val="left"/>
      <w:lvlText w:val="(%1)"/>
      <w:numFmt w:val="decimal"/>
      <w:start w:val="1"/>
    </w:lvl>
  </w:abstractNum>
  <w:abstractNum w:abstractNumId="84">
    <w:nsid w:val="4F97E3E4"/>
    <w:multiLevelType w:val="hybridMultilevel"/>
    <w:lvl w:ilvl="0">
      <w:lvlJc w:val="left"/>
      <w:lvlText w:val="(%1)"/>
      <w:numFmt w:val="lowerLetter"/>
      <w:start w:val="3"/>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1"/>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2"/>
    </w:lvl>
  </w:abstractNum>
  <w:abstractNum w:abstractNumId="91">
    <w:nsid w:val="17A1B582"/>
    <w:multiLevelType w:val="hybridMultilevel"/>
    <w:lvl w:ilvl="0">
      <w:lvlJc w:val="left"/>
      <w:lvlText w:val="(%1)"/>
      <w:numFmt w:val="lowerRoman"/>
      <w:start w:val="2"/>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1"/>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1)"/>
      <w:numFmt w:val="decimal"/>
      <w:start w:val="1"/>
    </w:lvl>
  </w:abstractNum>
  <w:abstractNum w:abstractNumId="96">
    <w:nsid w:val="5EC6AFD4"/>
    <w:multiLevelType w:val="hybridMultilevel"/>
    <w:lvl w:ilvl="0">
      <w:lvlJc w:val="left"/>
      <w:lvlText w:val="(%1)"/>
      <w:numFmt w:val="decimal"/>
      <w:start w:val="2"/>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decimal"/>
      <w:start w:val="1"/>
    </w:lvl>
  </w:abstractNum>
  <w:abstractNum w:abstractNumId="99">
    <w:nsid w:val="57A61A29"/>
    <w:multiLevelType w:val="hybridMultilevel"/>
    <w:lvl w:ilvl="0">
      <w:lvlJc w:val="left"/>
      <w:lvlText w:val="(%1)"/>
      <w:numFmt w:val="decimal"/>
      <w:start w:val="4"/>
    </w:lvl>
  </w:abstractNum>
  <w:abstractNum w:abstractNumId="100">
    <w:nsid w:val="5399C654"/>
    <w:multiLevelType w:val="hybridMultilevel"/>
    <w:lvl w:ilvl="0">
      <w:lvlJc w:val="left"/>
      <w:lvlText w:val="(%1)"/>
      <w:numFmt w:val="decimal"/>
      <w:start w:val="1"/>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1)"/>
      <w:numFmt w:val="lowerLetter"/>
      <w:start w:val="3"/>
    </w:lvl>
  </w:abstractNum>
  <w:abstractNum w:abstractNumId="103">
    <w:nsid w:val="B37E80A"/>
    <w:multiLevelType w:val="hybridMultilevel"/>
    <w:lvl w:ilvl="0">
      <w:lvlJc w:val="left"/>
      <w:lvlText w:val="(%1)"/>
      <w:numFmt w:val="lowerLetter"/>
      <w:start w:val="1"/>
    </w:lvl>
  </w:abstractNum>
  <w:abstractNum w:abstractNumId="104">
    <w:nsid w:val="2157F6BC"/>
    <w:multiLevelType w:val="hybridMultilevel"/>
    <w:lvl w:ilvl="0">
      <w:lvlJc w:val="left"/>
      <w:lvlText w:val="(%1)"/>
      <w:numFmt w:val="lowerLetter"/>
      <w:start w:val="1"/>
    </w:lvl>
  </w:abstractNum>
  <w:abstractNum w:abstractNumId="105">
    <w:nsid w:val="704E1DD5"/>
    <w:multiLevelType w:val="hybridMultilevel"/>
    <w:lvl w:ilvl="0">
      <w:lvlJc w:val="left"/>
      <w:lvlText w:val="(%1)"/>
      <w:numFmt w:val="lowerLetter"/>
      <w:start w:val="2"/>
    </w:lvl>
  </w:abstractNum>
  <w:abstractNum w:abstractNumId="106">
    <w:nsid w:val="57D2F10E"/>
    <w:multiLevelType w:val="hybridMultilevel"/>
    <w:lvl w:ilvl="0">
      <w:lvlJc w:val="left"/>
      <w:lvlText w:val="(%1)"/>
      <w:numFmt w:val="lowerLetter"/>
      <w:start w:val="1"/>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decimal"/>
      <w:start w:val="1"/>
    </w:lvl>
  </w:abstractNum>
  <w:abstractNum w:abstractNumId="109">
    <w:nsid w:val="2E48F044"/>
    <w:multiLevelType w:val="hybridMultilevel"/>
    <w:lvl w:ilvl="0">
      <w:lvlJc w:val="left"/>
      <w:lvlText w:val="(%1)"/>
      <w:numFmt w:val="decimal"/>
      <w:start w:val="2"/>
    </w:lvl>
  </w:abstractNum>
  <w:abstractNum w:abstractNumId="110">
    <w:nsid w:val="49D0FEAC"/>
    <w:multiLevelType w:val="hybridMultilevel"/>
    <w:lvl w:ilvl="0">
      <w:lvlJc w:val="left"/>
      <w:lvlText w:val="(%1)"/>
      <w:numFmt w:val="lowerLetter"/>
      <w:start w:val="2"/>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2"/>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decimal"/>
      <w:start w:val="1"/>
    </w:lvl>
  </w:abstractNum>
  <w:abstractNum w:abstractNumId="116">
    <w:nsid w:val="2A31B62D"/>
    <w:multiLevelType w:val="hybridMultilevel"/>
    <w:lvl w:ilvl="0">
      <w:lvlJc w:val="left"/>
      <w:lvlText w:val="(%1)"/>
      <w:numFmt w:val="decimal"/>
      <w:start w:val="5"/>
    </w:lvl>
  </w:abstractNum>
  <w:abstractNum w:abstractNumId="117">
    <w:nsid w:val="1849C29B"/>
    <w:multiLevelType w:val="hybridMultilevel"/>
    <w:lvl w:ilvl="0">
      <w:lvlJc w:val="left"/>
      <w:lvlText w:val="(%1)"/>
      <w:numFmt w:val="lowerLetter"/>
      <w:start w:val="2"/>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3"/>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decimal"/>
      <w:start w:val="1"/>
    </w:lvl>
  </w:abstractNum>
  <w:abstractNum w:abstractNumId="123">
    <w:nsid w:val="37DF2233"/>
    <w:multiLevelType w:val="hybridMultilevel"/>
    <w:lvl w:ilvl="0">
      <w:lvlJc w:val="left"/>
      <w:lvlText w:val="(%1)"/>
      <w:numFmt w:val="lowerRoman"/>
      <w:start w:val="1"/>
    </w:lvl>
  </w:abstractNum>
  <w:abstractNum w:abstractNumId="124">
    <w:nsid w:val="7AB49DAF"/>
    <w:multiLevelType w:val="hybridMultilevel"/>
    <w:lvl w:ilvl="0">
      <w:lvlJc w:val="left"/>
      <w:lvlText w:val="(%1)"/>
      <w:numFmt w:val="decimal"/>
      <w:start w:val="2"/>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lowerLetter"/>
      <w:start w:val="3"/>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lowerLetter"/>
      <w:start w:val="2"/>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decimal"/>
      <w:start w:val="1"/>
    </w:lvl>
  </w:abstractNum>
  <w:abstractNum w:abstractNumId="132">
    <w:nsid w:val="78B5E776"/>
    <w:multiLevelType w:val="hybridMultilevel"/>
    <w:lvl w:ilvl="0">
      <w:lvlJc w:val="left"/>
      <w:lvlText w:val="(%1)"/>
      <w:numFmt w:val="lowerLetter"/>
      <w:start w:val="3"/>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Letter"/>
      <w:start w:val="1"/>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lowerLetter"/>
      <w:start w:val="1"/>
    </w:lvl>
  </w:abstractNum>
  <w:abstractNum w:abstractNumId="137">
    <w:nsid w:val="46263DEC"/>
    <w:multiLevelType w:val="hybridMultilevel"/>
    <w:lvl w:ilvl="0">
      <w:lvlJc w:val="left"/>
      <w:lvlText w:val="(%1)"/>
      <w:numFmt w:val="lowerLetter"/>
      <w:start w:val="1"/>
    </w:lvl>
  </w:abstractNum>
  <w:abstractNum w:abstractNumId="138">
    <w:nsid w:val="260D8C4A"/>
    <w:multiLevelType w:val="hybridMultilevel"/>
    <w:lvl w:ilvl="0">
      <w:lvlJc w:val="left"/>
      <w:lvlText w:val="(%1)"/>
      <w:numFmt w:val="lowerRoman"/>
      <w:start w:val="4"/>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
      <w:numFmt w:val="bullet"/>
      <w:start w:val="1"/>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lowerLetter"/>
      <w:start w:val="1"/>
    </w:lvl>
  </w:abstractNum>
  <w:abstractNum w:abstractNumId="144">
    <w:nsid w:val="14D53685"/>
    <w:multiLevelType w:val="hybridMultilevel"/>
    <w:lvl w:ilvl="0">
      <w:lvlJc w:val="left"/>
      <w:lvlText w:val="(%1)"/>
      <w:numFmt w:val="lowerRoman"/>
      <w:start w:val="1"/>
    </w:lvl>
  </w:abstractNum>
  <w:abstractNum w:abstractNumId="145">
    <w:nsid w:val="230F856C"/>
    <w:multiLevelType w:val="hybridMultilevel"/>
    <w:lvl w:ilvl="0">
      <w:lvlJc w:val="left"/>
      <w:lvlText w:val="%1."/>
      <w:numFmt w:val="decimal"/>
      <w:start w:val="1"/>
    </w:lvl>
  </w:abstractNum>
  <w:abstractNum w:abstractNumId="146">
    <w:nsid w:val="6EAA85FB"/>
    <w:multiLevelType w:val="hybridMultilevel"/>
    <w:lvl w:ilvl="0">
      <w:lvlJc w:val="left"/>
      <w:lvlText w:val="%1."/>
      <w:numFmt w:val="decimal"/>
      <w:start w:val="3"/>
    </w:lvl>
  </w:abstractNum>
  <w:abstractNum w:abstractNumId="147">
    <w:nsid w:val="3F06ECB2"/>
    <w:multiLevelType w:val="hybridMultilevel"/>
    <w:lvl w:ilvl="0">
      <w:lvlJc w:val="left"/>
      <w:lvlText w:val="●"/>
      <w:numFmt w:val="bullet"/>
      <w:start w:val="1"/>
    </w:lvl>
  </w:abstractNum>
  <w:abstractNum w:abstractNumId="148">
    <w:nsid w:val="3B594807"/>
    <w:multiLevelType w:val="hybridMultilevel"/>
    <w:lvl w:ilvl="0">
      <w:lvlJc w:val="left"/>
      <w:lvlText w:val="●"/>
      <w:numFmt w:val="bullet"/>
      <w:start w:val="1"/>
    </w:lvl>
  </w:abstractNum>
  <w:abstractNum w:abstractNumId="149">
    <w:nsid w:val="6CAA2304"/>
    <w:multiLevelType w:val="hybridMultilevel"/>
    <w:lvl w:ilvl="0">
      <w:lvlJc w:val="left"/>
      <w:lvlText w:val="●"/>
      <w:numFmt w:val="bullet"/>
      <w:start w:val="1"/>
    </w:lvl>
  </w:abstractNum>
  <w:abstractNum w:abstractNumId="150">
    <w:nsid w:val="3F7C2FF4"/>
    <w:multiLevelType w:val="hybridMultilevel"/>
    <w:lvl w:ilvl="0">
      <w:lvlJc w:val="left"/>
      <w:lvlText w:val="●"/>
      <w:numFmt w:val="bullet"/>
      <w:start w:val="1"/>
    </w:lvl>
  </w:abstractNum>
  <w:abstractNum w:abstractNumId="151">
    <w:nsid w:val="25413BEC"/>
    <w:multiLevelType w:val="hybridMultilevel"/>
    <w:lvl w:ilvl="0">
      <w:lvlJc w:val="left"/>
      <w:lvlText w:val="●"/>
      <w:numFmt w:val="bullet"/>
      <w:start w:val="1"/>
    </w:lvl>
  </w:abstractNum>
  <w:abstractNum w:abstractNumId="152">
    <w:nsid w:val="17180B0B"/>
    <w:multiLevelType w:val="hybridMultilevel"/>
    <w:lvl w:ilvl="0">
      <w:lvlJc w:val="left"/>
      <w:lvlText w:val="●"/>
      <w:numFmt w:val="bullet"/>
      <w:start w:val="1"/>
    </w:lvl>
  </w:abstractNum>
  <w:abstractNum w:abstractNumId="153">
    <w:nsid w:val="579328B9"/>
    <w:multiLevelType w:val="hybridMultilevel"/>
    <w:lvl w:ilvl="0">
      <w:lvlJc w:val="left"/>
      <w:lvlText w:val="●"/>
      <w:numFmt w:val="bullet"/>
      <w:start w:val="1"/>
    </w:lvl>
  </w:abstractNum>
  <w:abstractNum w:abstractNumId="154">
    <w:nsid w:val="5D205E20"/>
    <w:multiLevelType w:val="hybridMultilevel"/>
    <w:lvl w:ilvl="0">
      <w:lvlJc w:val="left"/>
      <w:lvlText w:val="●"/>
      <w:numFmt w:val="bullet"/>
      <w:start w:val="1"/>
    </w:lvl>
  </w:abstractNum>
  <w:abstractNum w:abstractNumId="155">
    <w:nsid w:val="11CCA8BA"/>
    <w:multiLevelType w:val="hybridMultilevel"/>
    <w:lvl w:ilvl="0">
      <w:lvlJc w:val="left"/>
      <w:lvlText w:val="●"/>
      <w:numFmt w:val="bullet"/>
      <w:start w:val="1"/>
    </w:lvl>
  </w:abstractNum>
  <w:abstractNum w:abstractNumId="156">
    <w:nsid w:val="4D32AB86"/>
    <w:multiLevelType w:val="hybridMultilevel"/>
    <w:lvl w:ilvl="0">
      <w:lvlJc w:val="left"/>
      <w:lvlText w:val="●"/>
      <w:numFmt w:val="bullet"/>
      <w:start w:val="1"/>
    </w:lvl>
  </w:abstractNum>
  <w:abstractNum w:abstractNumId="157">
    <w:nsid w:val="3F07ACC3"/>
    <w:multiLevelType w:val="hybridMultilevel"/>
    <w:lvl w:ilvl="0">
      <w:lvlJc w:val="left"/>
      <w:lvlText w:val="●"/>
      <w:numFmt w:val="bullet"/>
      <w:start w:val="1"/>
    </w:lvl>
  </w:abstractNum>
  <w:abstractNum w:abstractNumId="158">
    <w:nsid w:val="6B47F63E"/>
    <w:multiLevelType w:val="hybridMultilevel"/>
    <w:lvl w:ilvl="0">
      <w:lvlJc w:val="left"/>
      <w:lvlText w:val="●"/>
      <w:numFmt w:val="bullet"/>
      <w:start w:val="1"/>
    </w:lvl>
  </w:abstractNum>
  <w:abstractNum w:abstractNumId="159">
    <w:nsid w:val="5CB44A05"/>
    <w:multiLevelType w:val="hybridMultilevel"/>
    <w:lvl w:ilvl="0">
      <w:lvlJc w:val="left"/>
      <w:lvlText w:val="●"/>
      <w:numFmt w:val="bullet"/>
      <w:start w:val="1"/>
    </w:lvl>
  </w:abstractNum>
  <w:abstractNum w:abstractNumId="160">
    <w:nsid w:val="16CF80F1"/>
    <w:multiLevelType w:val="hybridMultilevel"/>
    <w:lvl w:ilvl="0">
      <w:lvlJc w:val="left"/>
      <w:lvlText w:val="●"/>
      <w:numFmt w:val="bullet"/>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jpeg"/><Relationship Id="rId75" Type="http://schemas.openxmlformats.org/officeDocument/2006/relationships/image" Target="media/image60.png"/><Relationship Id="rId76" Type="http://schemas.openxmlformats.org/officeDocument/2006/relationships/image" Target="media/image61.png"/><Relationship Id="rId85"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jpe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jpe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jpeg"/><Relationship Id="rId179" Type="http://schemas.openxmlformats.org/officeDocument/2006/relationships/image" Target="media/image154.png"/><Relationship Id="rId180" Type="http://schemas.openxmlformats.org/officeDocument/2006/relationships/image" Target="media/image155.jpeg"/><Relationship Id="rId181" Type="http://schemas.openxmlformats.org/officeDocument/2006/relationships/image" Target="media/image156.png"/><Relationship Id="rId182" Type="http://schemas.openxmlformats.org/officeDocument/2006/relationships/image" Target="media/image157.jpe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64" Type="http://schemas.openxmlformats.org/officeDocument/2006/relationships/hyperlink" Target="https://www.sec.gov/Archives/edgar/data/1798562/000110465922038029/tmc-20211231x10k.htm" TargetMode="External"/><Relationship Id="rId65" Type="http://schemas.openxmlformats.org/officeDocument/2006/relationships/hyperlink" Target="https://www.sec.gov/Archives/edgar/data/1798562/000110465922057493/tmc-20220331x10q.htm" TargetMode="External"/><Relationship Id="rId66" Type="http://schemas.openxmlformats.org/officeDocument/2006/relationships/hyperlink" Target="https://www.sec.gov/Archives/edgar/data/1798562/000110465922091250/tmc-20220630x10q.htm" TargetMode="External"/><Relationship Id="rId67" Type="http://schemas.openxmlformats.org/officeDocument/2006/relationships/hyperlink" Target="https://www.sec.gov/Archives/edgar/data/1798562/000110465922018674/tm226092d1_8k.htm" TargetMode="External"/><Relationship Id="rId68" Type="http://schemas.openxmlformats.org/officeDocument/2006/relationships/hyperlink" Target="https://www.sec.gov/Archives/edgar/data/1798562/000110465922034803/tm229560d1_8k.htm" TargetMode="External"/><Relationship Id="rId69" Type="http://schemas.openxmlformats.org/officeDocument/2006/relationships/hyperlink" Target="https://www.sec.gov/Archives/edgar/data/1798562/000110465922067358/tm2217495d1_8k.htm" TargetMode="External"/><Relationship Id="rId70" Type="http://schemas.openxmlformats.org/officeDocument/2006/relationships/hyperlink" Target="https://www.sec.gov/ix?doc=/Archives/edgar/data/1798562/000110465922090666/tm2223376d3_8k.htm" TargetMode="External"/><Relationship Id="rId72" Type="http://schemas.openxmlformats.org/officeDocument/2006/relationships/hyperlink" Target="https://www.sec.gov/Archives/edgar/data/1798562/000121390021047279/ea146988-8a12b_tmcthemetals.htm" TargetMode="External"/><Relationship Id="rId77" Type="http://schemas.openxmlformats.org/officeDocument/2006/relationships/hyperlink" Target="https://www.sec.gov/Archives/edgar/data/1798562/000110465922090666/tm2223376d3_ex10-1.htm" TargetMode="External"/><Relationship Id="rId78" Type="http://schemas.openxmlformats.org/officeDocument/2006/relationships/hyperlink" Target="https://www.sec.gov/Archives/edgar/data/1798562/000110465922090666/tm2223376d3_ex10-2.htm" TargetMode="External"/><Relationship Id="rId79" Type="http://schemas.openxmlformats.org/officeDocument/2006/relationships/hyperlink" Target="https://www.sec.gov/Archives/edgar/data/1798562/000110465922090666/tm2223376d3_ex10-3.htm" TargetMode="External"/><Relationship Id="rId80" Type="http://schemas.openxmlformats.org/officeDocument/2006/relationships/hyperlink" Target="https://www.sec.gov/Archives/edgar/data/1798562/000121390021048261/ea147253ex3-1_tmcthemet.htm" TargetMode="External"/><Relationship Id="rId81" Type="http://schemas.openxmlformats.org/officeDocument/2006/relationships/hyperlink" Target="https://www.sec.gov/Archives/edgar/data/1798562/000121390021048261/ea147253ex3-2_tmcthemet.htm" TargetMode="External"/><Relationship Id="rId82" Type="http://schemas.openxmlformats.org/officeDocument/2006/relationships/hyperlink" Target="https://www.sec.gov/Archives/edgar/data/1798562/000121390021048261/ea147253ex4-1_tmcthemet.htm" TargetMode="External"/><Relationship Id="rId83" Type="http://schemas.openxmlformats.org/officeDocument/2006/relationships/hyperlink" Target="https://www.sec.gov/Archives/edgar/data/1798562/000121390020011491/ea121545ex4-1_sustainable.htm" TargetMode="External"/><Relationship Id="rId84" Type="http://schemas.openxmlformats.org/officeDocument/2006/relationships/hyperlink" Target="https://www.sec.gov/Archives/edgar/data/1798562/000121390021020731/fs42021ex4-5_sustainable.htm" TargetMode="External"/><Relationship Id="rId86" Type="http://schemas.openxmlformats.org/officeDocument/2006/relationships/hyperlink" Target="https://www.sec.gov/Archives/edgar/data/1798562/000121390021033645/fs42021a2ex96-1_sustainable.htm" TargetMode="External"/><Relationship Id="rId87" Type="http://schemas.openxmlformats.org/officeDocument/2006/relationships/hyperlink" Target="https://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2022-09-16T16:18:52Z</dcterms:created>
  <dcterms:modified xsi:type="dcterms:W3CDTF">2022-09-16T16:18:52Z</dcterms:modified>
</cp:coreProperties>
</file>