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5,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333-267479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TMC the metals company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w:t>
            </w:r>
          </w:p>
        </w:tc>
        <w:tc>
          <w:tcPr>
            <w:tcW w:w="1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Vancouver, British Columbia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V6C 2T5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(574) 252-9333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L. Fantozzi,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T. Kajunski,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Mintz, Levin, Cohn, Ferris,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Glovsky and Popeo,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(617) 542-6000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From time to time after the effective date of this registration statement.</w:t>
      </w:r>
    </w:p>
    <w:p>
      <w:pPr>
        <w:spacing w:after="0" w:line="2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441" w:right="339" w:bottom="0" w:gutter="0" w:footer="0" w:header="0"/>
        </w:sectPr>
      </w:pPr>
    </w:p>
    <w:bookmarkStart w:id="1" w:name="page2"/>
    <w:bookmarkEnd w:id="1"/>
    <w:p>
      <w:pPr>
        <w:jc w:val="both"/>
        <w:spacing w:after="0" w:line="237"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registration statement contains a base prospectus which covers both (a) the offering, issuance and sale by us of up to a maximum aggregate offering price of $100,000,000 of our common shares, preferred shares, debt securities, warrants and/or units from time to time in one or more offerings, and (b) the offering and sale by the selling shareholders of up to a maximum of 38,266,180 common shares, without par value, of TMC the metals company Inc.</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by us pursuant to the base prospectus will be specified in a prospectus supplement to the base prospectus,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Neither we nor the selling shareholders may sell these securities until the registration statement filed with the Securities and Exchange Commission becomes effective. This preliminary prospectus is not an offer to sell these securities and it is not soliciting an offer to buy these securities in any state or other jurisdiction where the offer or sale is not permitted.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OCTOBER 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11350"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MILLION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38,266,180 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SELLING SHAREHOLDERS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of up to $100 million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selling shareholders identified in this prospectus may from time to time sell up to 38,266,180 of our common shares, without par value, or the Common Shares. We will not receive any proceeds from the sale, if any, of Common Shares by the selling shareholders. Unless otherwise set forth in a prospectus supplement, if required, the selling shareholders will pay any underwriting discounts and commissions and transfer taxes incurred by the selling shareholders in disposing of the Common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“TMC”. On October 4, 2022, the last reported sale price of our Common Shares was $1.02 per share. We also have warrants to purchase Common Shares listed on the Nasdaq Global Select Market under the symbol “TMCWW”. On October 4, 2022, the last reported sale price of these public warrants to purchase Common Shares was $0.148.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8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800" w:type="dxa"/>
            <w:vAlign w:val="bottom"/>
            <w:tcBorders>
              <w:bottom w:val="single" w:sz="8" w:color="CCEEFF"/>
            </w:tcBorders>
            <w:gridSpan w:val="1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780" w:type="dxa"/>
            <w:vAlign w:val="bottom"/>
            <w:tcBorders>
              <w:bottom w:val="single" w:sz="8" w:color="CCEEFF"/>
            </w:tcBorders>
            <w:gridSpan w:val="19"/>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980" w:type="dxa"/>
            <w:vAlign w:val="bottom"/>
            <w:tcBorders>
              <w:bottom w:val="single" w:sz="8" w:color="CCEEFF"/>
            </w:tcBorders>
            <w:gridSpan w:val="1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 AND SPECIAL SHARES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7780" w:type="dxa"/>
            <w:vAlign w:val="bottom"/>
            <w:tcBorders>
              <w:bottom w:val="single" w:sz="8" w:color="CCEEFF"/>
            </w:tcBorders>
            <w:gridSpan w:val="9"/>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20</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176"/>
        </w:trPr>
        <w:tc>
          <w:tcPr>
            <w:tcW w:w="24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8560" w:type="dxa"/>
            <w:vAlign w:val="bottom"/>
            <w:tcBorders>
              <w:top w:val="single" w:sz="8" w:color="CCEEFF"/>
            </w:tcBorders>
            <w:gridSpan w:val="11"/>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2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IMPORTANT PROVISIONS OF THE NOTICE OF ARTICLES AND ARTICLES AND THE BCBCA</w:t>
            </w:r>
          </w:p>
        </w:tc>
        <w:tc>
          <w:tcPr>
            <w:tcW w:w="2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35</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616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MATERIAL CANADIAN FEDERAL INCOME TAX CONSIDERATIONS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44</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shd w:val="clear" w:color="auto" w:fill="CCEEFF"/>
          </w:tcPr>
          <w:p>
            <w:pPr>
              <w:spacing w:after="0"/>
              <w:rPr>
                <w:sz w:val="17"/>
                <w:szCs w:val="17"/>
                <w:color w:val="auto"/>
              </w:rPr>
            </w:pPr>
          </w:p>
        </w:tc>
      </w:tr>
      <w:tr>
        <w:trPr>
          <w:trHeight w:val="176"/>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580" w:type="dxa"/>
            <w:vAlign w:val="bottom"/>
            <w:tcBorders>
              <w:top w:val="single" w:sz="8" w:color="CCEEFF"/>
            </w:tcBorders>
            <w:gridSpan w:val="18"/>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tcPr>
          <w:p>
            <w:pPr>
              <w:spacing w:after="0"/>
              <w:rPr>
                <w:sz w:val="15"/>
                <w:szCs w:val="15"/>
                <w:color w:val="auto"/>
              </w:rPr>
            </w:pPr>
          </w:p>
        </w:tc>
      </w:tr>
      <w:tr>
        <w:trPr>
          <w:trHeight w:val="696"/>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the selling shareholders may change over time. When the selling shareholders sell our Common Shares under this prospectus, we will, if necessary and required by law, provide a prospectus supplement that will contain specific information about the terms of that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Company,” “we,” “us,” “our” and similar terms refer to TMC the metals company Inc. and our subsidiaries.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We have not done anything that would permit these offerings or possession or distribution of this prospectus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jurisdiction where action for that purpose is required, other than in the United States. You are required to inform yourselves about and to observe any restrictions relating to this offering and the distribution of this prospectus.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025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PROSPECTUS SUMMARY</w:t>
      </w:r>
    </w:p>
    <w:p>
      <w:pPr>
        <w:spacing w:after="0" w:line="227" w:lineRule="exact"/>
        <w:rPr>
          <w:sz w:val="20"/>
          <w:szCs w:val="20"/>
          <w:color w:val="auto"/>
        </w:rPr>
      </w:pPr>
    </w:p>
    <w:p>
      <w:pPr>
        <w:jc w:val="both"/>
        <w:ind w:left="10"/>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9"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or the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3"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or EVs, and renewable energy storage markets, (ii) nickel-copper-cobalt matte and/or copper cathode for EV wiring, clean energy transmission and other applications and</w:t>
      </w:r>
    </w:p>
    <w:p>
      <w:pPr>
        <w:spacing w:after="0" w:line="3" w:lineRule="exact"/>
        <w:rPr>
          <w:sz w:val="20"/>
          <w:szCs w:val="20"/>
          <w:color w:val="auto"/>
        </w:rPr>
      </w:pPr>
    </w:p>
    <w:p>
      <w:pPr>
        <w:jc w:val="both"/>
        <w:ind w:left="10" w:hanging="10"/>
        <w:spacing w:after="0" w:line="255" w:lineRule="auto"/>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manganese silicate for manganese alloy production required for steel production. Our mission is to build a carefully managed shared stock of metal, which we refer to as a metals common, that can be used, recovered and reused for generations to come. Significant quantities of newly mined metal are required because existing metal stocks are insufficient to meet rapidly rising demand.</w:t>
      </w:r>
    </w:p>
    <w:p>
      <w:pPr>
        <w:spacing w:after="0" w:line="186"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spacing w:after="0" w:line="194"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Group S.A.,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or Glencore, which holds offtake rights on 50% of the NORI nickel and copper production.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(a Glencore subsidiary) facilities and bench-scale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or Epsilon Carbon, in which Epsilon Carbon expressed its intent to conduct pre-feasibility work to potentially finance, engineer, permit, construct and operate a commercial polymetallic nodule processing plant in India.</w:t>
      </w:r>
    </w:p>
    <w:p>
      <w:pPr>
        <w:spacing w:after="0" w:line="200" w:lineRule="exact"/>
        <w:rPr>
          <w:sz w:val="20"/>
          <w:szCs w:val="20"/>
          <w:color w:val="auto"/>
        </w:rPr>
      </w:pPr>
    </w:p>
    <w:p>
      <w:pPr>
        <w:spacing w:after="0" w:line="345"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50"/>
          </w:cols>
          <w:pgMar w:left="670" w:top="1022" w:right="67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064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environmental, social and governance (ESG) impacts of offshore nodule collection, and (iv) developing onshore technology to process collected polymetallic nodules into a manganese silicate product, and an intermediate nickel-copper-cobalt matte product and/or end-products like nickel and cobalt sulfates, and copper cathode. We will need additional funding to reach our expected commercial production in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 Regarding the NORI Initial Assessment and TOML Mineral Resource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or AMC,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680" w:top="1026" w:right="679" w:bottom="1440" w:gutter="0" w:footer="0" w:header="0"/>
        </w:sectPr>
      </w:pPr>
    </w:p>
    <w:bookmarkStart w:id="8" w:name="page9"/>
    <w:bookmarkEnd w:id="8"/>
    <w:p>
      <w:pPr>
        <w:jc w:val="both"/>
        <w:ind w:left="1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573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t>Likewise, you are cautioned not to assume that all or any part of measured or indicated mineral resources will ever be upgraded to mineral reserves.</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9"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as described under the caption “Incorporation of Documents by Reference” on page 46 of this prospectus.</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Our Corporate Information</w:t>
      </w:r>
    </w:p>
    <w:p>
      <w:pPr>
        <w:spacing w:after="0" w:line="229"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8"/>
          <w:szCs w:val="18"/>
          <w:color w:val="auto"/>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Business Combination, SOAC changed its name to “TMC the metals company Inc.” Our principal executive offices are located at 595 Howe Street, 10th Floor, Vancouver, British Columbia V6C 2T5, and our telephone number is (574) 252-9333. Our website address is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spacing w:after="0" w:line="18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8"/>
          <w:szCs w:val="18"/>
          <w:color w:val="auto"/>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Offerings Under This Prospectus by Us</w:t>
      </w:r>
    </w:p>
    <w:p>
      <w:pPr>
        <w:spacing w:after="0" w:line="22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8"/>
          <w:szCs w:val="18"/>
          <w:color w:val="auto"/>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spacing w:after="0" w:line="176"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7"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9"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and other options to purchase additional securities, if any; and</w:t>
      </w:r>
    </w:p>
    <w:p>
      <w:pPr>
        <w:spacing w:after="0" w:line="9"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by us unless it is accompanied by a prospectus supplement.</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Selling Shareholders May Offer</w:t>
      </w:r>
    </w:p>
    <w:p>
      <w:pPr>
        <w:spacing w:after="0" w:line="229" w:lineRule="exact"/>
        <w:rPr>
          <w:sz w:val="20"/>
          <w:szCs w:val="20"/>
          <w:color w:val="auto"/>
        </w:rPr>
      </w:pPr>
    </w:p>
    <w:p>
      <w:pPr>
        <w:ind w:left="10" w:right="20"/>
        <w:spacing w:after="0" w:line="282" w:lineRule="auto"/>
        <w:rPr>
          <w:sz w:val="20"/>
          <w:szCs w:val="20"/>
          <w:color w:val="auto"/>
        </w:rPr>
      </w:pPr>
      <w:r>
        <w:rPr>
          <w:rFonts w:ascii="Times New Roman" w:cs="Times New Roman" w:eastAsia="Times New Roman" w:hAnsi="Times New Roman"/>
          <w:sz w:val="18"/>
          <w:szCs w:val="18"/>
          <w:color w:val="auto"/>
        </w:rPr>
        <w:t>The selling shareholders named in this prospectus may offer and resell from time to time up to 38,266,180 Common Shares. We will not receive any proceeds from the sale of Common Shares by the selling shareholders. Please see the section titled “Selling Shareholders” in this prospectus.</w:t>
      </w:r>
    </w:p>
    <w:p>
      <w:pPr>
        <w:spacing w:after="0" w:line="200" w:lineRule="exact"/>
        <w:rPr>
          <w:sz w:val="20"/>
          <w:szCs w:val="20"/>
          <w:color w:val="auto"/>
        </w:rPr>
      </w:pPr>
    </w:p>
    <w:p>
      <w:pPr>
        <w:spacing w:after="0" w:line="313"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50"/>
          </w:cols>
          <w:pgMar w:left="670" w:top="1242" w:right="6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96"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potential commercialization plans;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ISA’s final exploitation regulations that will create the legal and technical framework for exploitation of polymetallic nodules in the CCZ;</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and the need for additional financing;</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the nature of such financings;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 and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shareholders will make offers and sales pursuant to this prospectus and, if required, any applicable prospectus supplement. We will not receive any proceeds from the sale or other disposition by the selling shareholders of the Common Shares covered hereby, or interests therein. The selling shareholders will pay any expenses incurred by the selling shareholders for brokerage, accounting, tax or legal services or any other expenses incurred by the selling shareholders in disposing of these shares. We will bear all other costs, fees and expenses incurred in effecting the registration of the shares covered by this prospectus, including, without limitation, all registration fees, listing fees of The Nasdaq Stock Market and fees and expenses of our counsel and our independent registered public accounting firm.</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registering for resale an aggregate of 38,266,180 Common Shares, all of which have been issued by us as of the date of this prospectus, that may be sold by the selling shareholders set forth herein. Of these shares, 37,978,680 Common Shares were issued to the selling shareholders pursuant to that certain securities purchase agreement, dated August 12, 2022, or the PIPE Purchase Agreement, with the purchasers named therein for the issuance and sale of an aggregate of 31,625,000 Common Shares at a purchase price of $0.80 per share, a separate securities purchase agreement with Gerard Barron, our Chief Executive Officer and Chairman, or the Barron Purchase Agreement, for the issuance and sale of 103,680 Common Shares at $0.9645 per share, the consolidated closing bid price per Common Share on the Nasdaq Global Select Market on August 11, 2022, the date immediately preceding the signing of the Barron Purchase Agreement, and a separate securities purchase agreement with ERAS Capital LLC, the family fund of one of our directors, Andrei Karkar, for the issuance and sale of 6,250,000 Common Shares at a purchase price of $0.80 per share, or the ERAS Purchase Agreement. The PIPE Purchase Agreement, the Barron Purchase Agreement and the ERAS Purchase Agreement are referred to herein collectively as the Purchase Agreements. An aggregate of 287,500 Common Shares were issued to certain of our advisors in connection with advisory services they rendered related to the issuances of Common Shares pursuant to the Purchase Agreements. We are registering the resale of these Common Shares pursuant to the Purchase Agreements as well as arrangements with certain of our advisors. We will not receive any proceeds from the resale of the Common Shares by the selling shareholders.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and the accompanying footnotes are based in part on information supplied to us by the selling shareholders. The table and footnotes assume that the selling shareholders will sell all of the shares listed. However, because the selling shareholders may sell all or some of their shares under this prospectus from time to time, or in another permitted manner, we cannot assure you as to the actual number of shares that will be sold by the selling shareholders or that will be held by the selling shareholders after completion of any sales. We do not know how long the selling shareholders will hold the shares before selling them.</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Shares as of August 31, 2022 by each selling shareholder. Beneficial ownership is determined in accordance with the rules of the SEC and includes voting or investment power with respect to the securities. We deem Common Shares that may be acquired by an individual or group within 60 days of August 31, 2022 pursuant to the exercise of options or conversion of convertible securities to be outstanding for the purpose of computing the percentage ownership of such individual or group, but those shares are not deemed to be outstanding for the purpose of computing the percentage ownership of any other person shown in the table. The Common Shares issuable upon conversion of any Special Shares owned by the selling shareholders are not beneficially owned by any of the selling shareholders and are excluded from the beneficial ownership columns in the table below since the conversions of such Special Shares are subject to the Common Share trading price thresholds described herein. Please see the section titled “Description of Common Shares and Special Shares” in this prospectus. Except as indicated in footnotes to this table, we believe that the shareholders named in this table have sole voting and investment power with respect to all Common Shares shown to be beneficially owned by them based on information provided to us by these shareholders. Percentage of ownership prior to the offering is based on 265,424,635 Common Shares outstanding on August 31, 2022, assuming that we issued all of the 37,978,680 Common Shares issued under the Purchase Agreements and the 287,500 Common Shares issued to our advisors on or before such date.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 Shares to be</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Common Shares Beneficially</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 Owned After</w:t>
            </w:r>
          </w:p>
        </w:tc>
        <w:tc>
          <w:tcPr>
            <w:tcW w:w="0" w:type="dxa"/>
            <w:vAlign w:val="bottom"/>
          </w:tcPr>
          <w:p>
            <w:pPr>
              <w:spacing w:after="0"/>
              <w:rPr>
                <w:sz w:val="1"/>
                <w:szCs w:val="1"/>
                <w:color w:val="auto"/>
              </w:rPr>
            </w:pPr>
          </w:p>
        </w:tc>
      </w:tr>
      <w:tr>
        <w:trPr>
          <w:trHeight w:val="238"/>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Selling Shareholder</w:t>
            </w:r>
            <w:r>
              <w:rPr>
                <w:rFonts w:ascii="Times New Roman" w:cs="Times New Roman" w:eastAsia="Times New Roman" w:hAnsi="Times New Roman"/>
                <w:sz w:val="29"/>
                <w:szCs w:val="29"/>
                <w:b w:val="1"/>
                <w:bCs w:val="1"/>
                <w:color w:val="auto"/>
                <w:vertAlign w:val="superscript"/>
              </w:rPr>
              <w:t>(1)</w:t>
            </w:r>
          </w:p>
        </w:tc>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Owned Prior to Offering</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Being</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09"/>
        </w:trPr>
        <w:tc>
          <w:tcPr>
            <w:tcW w:w="5420" w:type="dxa"/>
            <w:vAlign w:val="bottom"/>
            <w:vMerge w:val="continue"/>
          </w:tcPr>
          <w:p>
            <w:pPr>
              <w:spacing w:after="0"/>
              <w:rPr>
                <w:sz w:val="18"/>
                <w:szCs w:val="18"/>
                <w:color w:val="auto"/>
              </w:rPr>
            </w:pPr>
          </w:p>
        </w:tc>
        <w:tc>
          <w:tcPr>
            <w:tcW w:w="12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11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2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Willeese Pty Ltd ATF Wilson Family Trust</w:t>
            </w:r>
            <w:r>
              <w:rPr>
                <w:rFonts w:ascii="Times New Roman" w:cs="Times New Roman" w:eastAsia="Times New Roman" w:hAnsi="Times New Roman"/>
                <w:sz w:val="27"/>
                <w:szCs w:val="27"/>
                <w:color w:val="auto"/>
                <w:vertAlign w:val="superscript"/>
              </w:rPr>
              <w:t>(2)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1,522,990</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1,147,990</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Cadence Capital Limited</w:t>
            </w:r>
            <w:r>
              <w:rPr>
                <w:rFonts w:ascii="Times New Roman" w:cs="Times New Roman" w:eastAsia="Times New Roman" w:hAnsi="Times New Roman"/>
                <w:sz w:val="29"/>
                <w:szCs w:val="29"/>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Cadence Opportunities Fund Limited</w:t>
            </w:r>
            <w:r>
              <w:rPr>
                <w:rFonts w:ascii="Times New Roman" w:cs="Times New Roman" w:eastAsia="Times New Roman" w:hAnsi="Times New Roman"/>
                <w:sz w:val="29"/>
                <w:szCs w:val="29"/>
                <w:color w:val="auto"/>
                <w:vertAlign w:val="superscript"/>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Carrera Capital International Ltd.</w:t>
            </w:r>
            <w:r>
              <w:rPr>
                <w:rFonts w:ascii="Times New Roman" w:cs="Times New Roman" w:eastAsia="Times New Roman" w:hAnsi="Times New Roman"/>
                <w:sz w:val="29"/>
                <w:szCs w:val="29"/>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1,719,890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1,469,890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Lucas Cahill</w:t>
            </w:r>
            <w:r>
              <w:rPr>
                <w:rFonts w:ascii="Times New Roman" w:cs="Times New Roman" w:eastAsia="Times New Roman" w:hAnsi="Times New Roman"/>
                <w:sz w:val="29"/>
                <w:szCs w:val="29"/>
                <w:color w:val="auto"/>
                <w:vertAlign w:val="superscript"/>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1,198,298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510,798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Brian Paes-Braga</w:t>
            </w:r>
            <w:r>
              <w:rPr>
                <w:rFonts w:ascii="Times New Roman" w:cs="Times New Roman" w:eastAsia="Times New Roman" w:hAnsi="Times New Roman"/>
                <w:sz w:val="29"/>
                <w:szCs w:val="29"/>
                <w:color w:val="auto"/>
                <w:vertAlign w:val="superscript"/>
              </w:rPr>
              <w:t>(7)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2,325,731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763,231</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Valola Holdings Corp.</w:t>
            </w:r>
            <w:r>
              <w:rPr>
                <w:rFonts w:ascii="Times New Roman" w:cs="Times New Roman" w:eastAsia="Times New Roman" w:hAnsi="Times New Roman"/>
                <w:sz w:val="29"/>
                <w:szCs w:val="29"/>
                <w:color w:val="auto"/>
                <w:vertAlign w:val="superscript"/>
              </w:rPr>
              <w:t>(8)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South Lake One LLC</w:t>
            </w:r>
            <w:r>
              <w:rPr>
                <w:rFonts w:ascii="Times New Roman" w:cs="Times New Roman" w:eastAsia="Times New Roman" w:hAnsi="Times New Roman"/>
                <w:sz w:val="29"/>
                <w:szCs w:val="29"/>
                <w:color w:val="auto"/>
                <w:vertAlign w:val="superscript"/>
              </w:rPr>
              <w:t>(9)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12,284,667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9,784,667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Brian Stewart</w:t>
            </w:r>
            <w:r>
              <w:rPr>
                <w:rFonts w:ascii="Times New Roman" w:cs="Times New Roman" w:eastAsia="Times New Roman" w:hAnsi="Times New Roman"/>
                <w:sz w:val="29"/>
                <w:szCs w:val="29"/>
                <w:color w:val="auto"/>
                <w:vertAlign w:val="superscript"/>
              </w:rPr>
              <w:t>(10)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Namdar Family Holdings LLC</w:t>
            </w:r>
            <w:r>
              <w:rPr>
                <w:rFonts w:ascii="Times New Roman" w:cs="Times New Roman" w:eastAsia="Times New Roman" w:hAnsi="Times New Roman"/>
                <w:sz w:val="29"/>
                <w:szCs w:val="29"/>
                <w:color w:val="auto"/>
                <w:vertAlign w:val="superscript"/>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Majid Fahd M Alghaslan</w:t>
            </w:r>
            <w:r>
              <w:rPr>
                <w:rFonts w:ascii="Times New Roman" w:cs="Times New Roman" w:eastAsia="Times New Roman" w:hAnsi="Times New Roman"/>
                <w:sz w:val="29"/>
                <w:szCs w:val="29"/>
                <w:color w:val="auto"/>
                <w:vertAlign w:val="superscript"/>
              </w:rPr>
              <w:t>(12)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BMO Nesbitt Burns Inc. ITF Lynwood Opportunities Master Fund</w:t>
            </w:r>
            <w:r>
              <w:rPr>
                <w:rFonts w:ascii="Times New Roman" w:cs="Times New Roman" w:eastAsia="Times New Roman" w:hAnsi="Times New Roman"/>
                <w:sz w:val="29"/>
                <w:szCs w:val="29"/>
                <w:color w:val="auto"/>
                <w:vertAlign w:val="superscript"/>
              </w:rPr>
              <w:t>(13)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Nero Resource Fund Pty Ltd</w:t>
            </w:r>
            <w:r>
              <w:rPr>
                <w:rFonts w:ascii="Times New Roman" w:cs="Times New Roman" w:eastAsia="Times New Roman" w:hAnsi="Times New Roman"/>
                <w:sz w:val="29"/>
                <w:szCs w:val="29"/>
                <w:color w:val="auto"/>
                <w:vertAlign w:val="superscript"/>
              </w:rPr>
              <w:t>(14)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Peter Jon Deschenes Jr</w:t>
            </w:r>
            <w:r>
              <w:rPr>
                <w:rFonts w:ascii="Times New Roman" w:cs="Times New Roman" w:eastAsia="Times New Roman" w:hAnsi="Times New Roman"/>
                <w:sz w:val="29"/>
                <w:szCs w:val="29"/>
                <w:color w:val="auto"/>
                <w:vertAlign w:val="superscript"/>
              </w:rPr>
              <w:t>(15)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RF Trust</w:t>
            </w:r>
            <w:r>
              <w:rPr>
                <w:rFonts w:ascii="Times New Roman" w:cs="Times New Roman" w:eastAsia="Times New Roman" w:hAnsi="Times New Roman"/>
                <w:sz w:val="29"/>
                <w:szCs w:val="29"/>
                <w:color w:val="auto"/>
                <w:vertAlign w:val="superscript"/>
              </w:rPr>
              <w:t>(16)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Gadi Slade</w:t>
            </w:r>
            <w:r>
              <w:rPr>
                <w:rFonts w:ascii="Times New Roman" w:cs="Times New Roman" w:eastAsia="Times New Roman" w:hAnsi="Times New Roman"/>
                <w:sz w:val="29"/>
                <w:szCs w:val="29"/>
                <w:color w:val="auto"/>
                <w:vertAlign w:val="superscript"/>
              </w:rPr>
              <w:t>(17)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Ronit Global Opportunities Master Fund Limited</w:t>
            </w:r>
            <w:r>
              <w:rPr>
                <w:rFonts w:ascii="Times New Roman" w:cs="Times New Roman" w:eastAsia="Times New Roman" w:hAnsi="Times New Roman"/>
                <w:sz w:val="29"/>
                <w:szCs w:val="29"/>
                <w:color w:val="auto"/>
                <w:vertAlign w:val="superscript"/>
              </w:rPr>
              <w:t>(18)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1,748,154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Leste Global Fund SPC - Segregated Portfolio B</w:t>
            </w:r>
            <w:r>
              <w:rPr>
                <w:rFonts w:ascii="Times New Roman" w:cs="Times New Roman" w:eastAsia="Times New Roman" w:hAnsi="Times New Roman"/>
                <w:sz w:val="29"/>
                <w:szCs w:val="29"/>
                <w:color w:val="auto"/>
                <w:vertAlign w:val="superscript"/>
              </w:rPr>
              <w:t>(19)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Light Doors LLC</w:t>
            </w:r>
            <w:r>
              <w:rPr>
                <w:rFonts w:ascii="Times New Roman" w:cs="Times New Roman" w:eastAsia="Times New Roman" w:hAnsi="Times New Roman"/>
                <w:sz w:val="29"/>
                <w:szCs w:val="29"/>
                <w:color w:val="auto"/>
                <w:vertAlign w:val="superscript"/>
              </w:rPr>
              <w:t>(20)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Lydia Barron</w:t>
            </w:r>
            <w:r>
              <w:rPr>
                <w:rFonts w:ascii="Times New Roman" w:cs="Times New Roman" w:eastAsia="Times New Roman" w:hAnsi="Times New Roman"/>
                <w:sz w:val="29"/>
                <w:szCs w:val="29"/>
                <w:color w:val="auto"/>
                <w:vertAlign w:val="superscript"/>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Claudia Barron</w:t>
            </w:r>
            <w:r>
              <w:rPr>
                <w:rFonts w:ascii="Times New Roman" w:cs="Times New Roman" w:eastAsia="Times New Roman" w:hAnsi="Times New Roman"/>
                <w:sz w:val="29"/>
                <w:szCs w:val="29"/>
                <w:color w:val="auto"/>
                <w:vertAlign w:val="superscript"/>
              </w:rPr>
              <w:t>(22)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264,632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Charlotte Barron</w:t>
            </w:r>
            <w:r>
              <w:rPr>
                <w:rFonts w:ascii="Times New Roman" w:cs="Times New Roman" w:eastAsia="Times New Roman" w:hAnsi="Times New Roman"/>
                <w:sz w:val="29"/>
                <w:szCs w:val="29"/>
                <w:color w:val="auto"/>
                <w:vertAlign w:val="superscript"/>
              </w:rPr>
              <w:t>(23)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Allseas Group S.A.</w:t>
            </w:r>
            <w:r>
              <w:rPr>
                <w:rFonts w:ascii="Times New Roman" w:cs="Times New Roman" w:eastAsia="Times New Roman" w:hAnsi="Times New Roman"/>
                <w:sz w:val="29"/>
                <w:szCs w:val="29"/>
                <w:color w:val="auto"/>
                <w:vertAlign w:val="superscript"/>
              </w:rPr>
              <w:t>(24)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22,701,648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16,451,648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Gerard Barron</w:t>
            </w:r>
            <w:r>
              <w:rPr>
                <w:rFonts w:ascii="Times New Roman" w:cs="Times New Roman" w:eastAsia="Times New Roman" w:hAnsi="Times New Roman"/>
                <w:sz w:val="29"/>
                <w:szCs w:val="29"/>
                <w:color w:val="auto"/>
                <w:vertAlign w:val="superscript"/>
              </w:rPr>
              <w:t>(25)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18,806,677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18,702,997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ERAS Capital LLC</w:t>
            </w:r>
            <w:r>
              <w:rPr>
                <w:rFonts w:ascii="Times New Roman" w:cs="Times New Roman" w:eastAsia="Times New Roman" w:hAnsi="Times New Roman"/>
                <w:sz w:val="29"/>
                <w:szCs w:val="29"/>
                <w:color w:val="auto"/>
                <w:vertAlign w:val="superscript"/>
              </w:rPr>
              <w:t>(26)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53,370,692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47,120,692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Odeon Capital Group LLC</w:t>
            </w:r>
            <w:r>
              <w:rPr>
                <w:rFonts w:ascii="Times New Roman" w:cs="Times New Roman" w:eastAsia="Times New Roman" w:hAnsi="Times New Roman"/>
                <w:sz w:val="29"/>
                <w:szCs w:val="29"/>
                <w:color w:val="auto"/>
                <w:vertAlign w:val="superscript"/>
              </w:rPr>
              <w:t>(27)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Edward Sugar</w:t>
            </w:r>
            <w:r>
              <w:rPr>
                <w:rFonts w:ascii="Times New Roman" w:cs="Times New Roman" w:eastAsia="Times New Roman" w:hAnsi="Times New Roman"/>
                <w:sz w:val="29"/>
                <w:szCs w:val="29"/>
                <w:color w:val="auto"/>
                <w:vertAlign w:val="superscript"/>
              </w:rPr>
              <w:t>(28)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Rogier de la Rambelje</w:t>
            </w:r>
            <w:r>
              <w:rPr>
                <w:rFonts w:ascii="Times New Roman" w:cs="Times New Roman" w:eastAsia="Times New Roman" w:hAnsi="Times New Roman"/>
                <w:sz w:val="29"/>
                <w:szCs w:val="29"/>
                <w:color w:val="auto"/>
                <w:vertAlign w:val="superscript"/>
              </w:rPr>
              <w:t>(29)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Bonner</w:t>
            </w:r>
            <w:r>
              <w:rPr>
                <w:rFonts w:ascii="Times New Roman" w:cs="Times New Roman" w:eastAsia="Times New Roman" w:hAnsi="Times New Roman"/>
                <w:sz w:val="29"/>
                <w:szCs w:val="29"/>
                <w:color w:val="auto"/>
                <w:vertAlign w:val="superscript"/>
              </w:rPr>
              <w:t>(30)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Shares.</w:t>
      </w:r>
    </w:p>
    <w:p>
      <w:pPr>
        <w:spacing w:after="0" w:line="27" w:lineRule="exact"/>
        <w:rPr>
          <w:rFonts w:ascii="Times New Roman" w:cs="Times New Roman" w:eastAsia="Times New Roman" w:hAnsi="Times New Roman"/>
          <w:sz w:val="18"/>
          <w:szCs w:val="18"/>
          <w:color w:val="auto"/>
        </w:rPr>
      </w:pPr>
    </w:p>
    <w:p>
      <w:pPr>
        <w:ind w:left="460" w:right="20" w:hanging="448"/>
        <w:spacing w:after="0" w:line="250"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these holders is c/o TMC the metals company Inc., 595 Howe Street, 10th Floor, Vancouver, British Columbia, Canada V6C 2T5.</w:t>
      </w:r>
    </w:p>
    <w:p>
      <w:pPr>
        <w:ind w:left="460" w:right="20" w:hanging="448"/>
        <w:spacing w:after="0" w:line="250"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David Wilson may be deemed to have voting and investment power over the shares held by Willeese Pty Ltd ATF Wilson Family Trust. The business address of such holder is 58 Warragal Road, Turramurra, New South Wales, 2074, Australia.</w:t>
      </w:r>
    </w:p>
    <w:p>
      <w:pPr>
        <w:ind w:left="460" w:right="20" w:hanging="448"/>
        <w:spacing w:after="0" w:line="250"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Capital Limited is a company listed on the Australian Securities Exchange. The business address of such holder is 11/131 Macquarie Street, Sydney, NSW, 2000.</w:t>
      </w:r>
    </w:p>
    <w:p>
      <w:pPr>
        <w:ind w:left="460" w:right="20" w:hanging="448"/>
        <w:spacing w:after="0" w:line="250"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Opportunities Fund Limited is a company listed on the Australian Securities Exchange. The business address of such holder is 11/131 Macquarie Street, Sydney, NSW, 2000.</w:t>
      </w:r>
    </w:p>
    <w:p>
      <w:pPr>
        <w:ind w:left="460" w:right="20" w:hanging="448"/>
        <w:spacing w:after="0" w:line="260"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Zicherman may be deemed to have voting and investment power over the shares held by Carrera Capital International Ltd. The business address of such holder is One Nexus Way, Camana Bay, Grand Cayman, Cayman Islands, KY1-9005.</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One Connaught Place, 1st Floor, London, W2 WET, United Kingdom.</w:t>
      </w:r>
    </w:p>
    <w:p>
      <w:pPr>
        <w:spacing w:after="0" w:line="27"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57,893 Common Shares held by its wholly-owned subsidiary, WTP Capital Corp. and 126,407 Common Shares underlying options that are exercisable within 60 days of August 31, 2022. Mr. Paes-Braga may be deemed to have voting and investment power over the shares held by WTP Capital Corp. and Valola Holdings Corp. The business address of such holder is One Connaught Place, 1st Floor, London, W2 WET, United Kingdom. Mr. Paes-Braga was formerly a non-employee director of DeepGreen.</w:t>
      </w:r>
    </w:p>
    <w:p>
      <w:pPr>
        <w:spacing w:after="0" w:line="1"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Paes-Braga may be deemed to have voting and investment power over the shares held by Valola Holdings Corp. The business address of such holder is One Nexus Way, Camana Bay, Grand Cayman, Cayman Islands, KY1-9005.</w:t>
      </w: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Isidoro Alfonso Quiroga Cortés, María Victoria Quiroga Moreno, Martín Abraham Guiloff Salvador and Luis Felipe Correa González, in their capacity as members of the board of managers, may be deemed to have voting and dispositive power (acting jointly Isidoro Alfonso Quiroga Cortés or María Victoria Quiroga Moreno with any of between Martín Abraham Guiloff Salvador and Luis Felipe Correa González) with respect to the securities held by South Lake One LLC. The business address of such holder is Presidente Riesco 5711 office 1603, Las Condes, Santiago, Chile.</w:t>
      </w:r>
    </w:p>
    <w:p>
      <w:pPr>
        <w:spacing w:after="0" w:line="1"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 Weathervane Circle, Cream Ridge, NJ 08514.</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Igal Namdar may be deemed to have voting and investment power over the shares held by Namdar Family Holdings LLC. The business address of such holder is 150 Great Neck Road, Suite 304, Great Neck, NY, 11021.</w:t>
      </w: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3618, Al Amir Muhammad bin Fahd Rd, Al Qusur Unit 6, Dhahran, Kingdom of Saudi Arabia.</w:t>
      </w:r>
    </w:p>
    <w:p>
      <w:pPr>
        <w:spacing w:after="0" w:line="9"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Shapiro may be deemed to have voting and investment power over the shares held by BMO Nesbitt Burns Inc. ITF Lynwood Opportunities Master Fund. The business address of such holder is FG Services Limited, #2206, Cassia Court, 72 Market St., Camana Bay, P.O. Box 30869 Grand Cayman KY1-1204, Cayman Islands.</w:t>
      </w:r>
    </w:p>
    <w:p>
      <w:pPr>
        <w:spacing w:after="0" w:line="1"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AAM PO Box 107, Morley, Western Australia, Australia 6943.</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115 East 67th Street, Apartment 4B, New York, NY 10065.</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Muriel Rubin and Harriet Rothfeld may be deemed to have voting and investment power over the shares held by The RF Trust. The business address of such holder is PO Box 213399, Royal Palm Beach, Florida 33421.</w:t>
      </w: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 Owenoke Park, Westport, CT 06880, USA.</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Ronit Capital LLP may be deemed to have voting and investment power over the shares held by Ronit Global Opportunities Master Fund Limited. The business address of such holder is C/O Ronit Capital LLP, 20 North Audley Street, London, W1K 6WE, UK.</w:t>
      </w: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Emmanuel Rose Hermann may be deemed to have voting and investment power over the shares held by Leste Global Fund SPC - Segregated Portfolio B. The business address of such holder is Conyers Trust Company (Cayman) Limited, Cricket Square, Hutchins Drive, PO Box 2681, George Town, Grand Cayman, KY1-1111, Cayman Islands.</w:t>
      </w:r>
    </w:p>
    <w:p>
      <w:pPr>
        <w:spacing w:after="0" w:line="1" w:lineRule="exact"/>
        <w:rPr>
          <w:rFonts w:ascii="Times New Roman" w:cs="Times New Roman" w:eastAsia="Times New Roman" w:hAnsi="Times New Roman"/>
          <w:sz w:val="18"/>
          <w:szCs w:val="18"/>
          <w:color w:val="auto"/>
        </w:rPr>
      </w:pPr>
    </w:p>
    <w:p>
      <w:pPr>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Mathew Van Alstyne may be deemed to have voting and investment power over the shares held by Light Doors LLC. The business address of such holder is 750 Lexington Avenue, 27th Floor, NY, NY 10022.</w:t>
      </w: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399,944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300,238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307,144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11,578,620 Common Shares issuable upon exercise of the warrant held by Allseas Group S.A. (“Allseas”). Edward Heerema, the Administrateur President of Allseas, has sole authority over Allseas. Edward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 We have a strategic relationship with Allseas in connection with the development of our collection systems.</w:t>
      </w:r>
    </w:p>
    <w:p>
      <w:pPr>
        <w:spacing w:after="0" w:line="2"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14,639,239 Common Shares, (ii) 4,078,044 Common Shares that are issuable upon exercise of options that are exercisable within 60 days of August 31, 2022, and (iii) 89,394 Common Shares underlying warrants. Does not include (i) up to 781,250 restricted stock units, each representing the right to receive one Common Share upon vesting, which vest in three equal annual installments beginning on November 22, 2022 and ending on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51,955,976 Common Shares and (ii) 1,414,716 Common Shares issuable upon exercise of warrants owned by ERAS Capital LLC (“ERAS”). Andrei Karkar has voting and dispositive control over the securities held by ERAS and therefore Mr. Karkar may be deemed to have beneficial ownership of the shares held by ERAS. The business address of such holder is 323 Marina Blvd, San Francisco, CA 94123-1213.</w:t>
      </w:r>
    </w:p>
    <w:p>
      <w:pPr>
        <w:spacing w:after="0" w:line="1"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Mathew Van Alstyne may be deemed to have voting and investment power over the shares held by Odeon Capital Group LLC. The business address of such holder is 750 Lexington Avenue, 27th Floor, NY, NY 10022. The Common Shares being offered were issued by us in connection with advisory services rendered to us related to the issuance of the Common Shares pursuant to the Purchaser Agreement.</w:t>
      </w:r>
    </w:p>
    <w:p>
      <w:pPr>
        <w:spacing w:after="0" w:line="1" w:lineRule="exact"/>
        <w:rPr>
          <w:rFonts w:ascii="Times New Roman" w:cs="Times New Roman" w:eastAsia="Times New Roman" w:hAnsi="Times New Roman"/>
          <w:sz w:val="18"/>
          <w:szCs w:val="18"/>
          <w:color w:val="auto"/>
        </w:rPr>
      </w:pPr>
    </w:p>
    <w:p>
      <w:pPr>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785 Fifth Avenue, Apt. 11-C, New York, NY 10022. The Common Shares being offered were issued by us in connection with advisory services rendered to us related to the issuance of the Common Shares pursuant to the Purchaser Agreement.</w:t>
      </w:r>
    </w:p>
    <w:p>
      <w:pPr>
        <w:ind w:left="448" w:right="20"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54 Morton Street, Apt 4F, New York, NY 10014. The Common Shares being offered were issued by us in connection with advisory services rendered to us related to the issuance of the Common Shares pursuant to the Purchaser Agreement.</w:t>
      </w:r>
    </w:p>
    <w:p>
      <w:pPr>
        <w:ind w:left="448" w:right="20" w:hanging="448"/>
        <w:spacing w:after="0" w:line="26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3600 North Lake Blvd, #186, Tahoe City, CA 96145. The Common Shares being offered were issued by us in connection with advisory services rendered to us related to the issuance of the Common Shares pursuant to the Purchaser Agreement.</w:t>
      </w:r>
    </w:p>
    <w:p>
      <w:pPr>
        <w:spacing w:after="0" w:line="39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8"/>
          </w:cols>
          <w:pgMar w:left="332" w:top="93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or the selling shareholders may offer securities under this prospectus from time to time pursuant to underwritten public offerings, negotiated transactions, block trades or a combination of these methods or any of the following:</w:t>
      </w:r>
    </w:p>
    <w:p>
      <w:pPr>
        <w:spacing w:after="0" w:line="162" w:lineRule="exact"/>
        <w:rPr>
          <w:sz w:val="20"/>
          <w:szCs w:val="20"/>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7" w:lineRule="exact"/>
        <w:rPr>
          <w:rFonts w:ascii="Times New Roman" w:cs="Times New Roman" w:eastAsia="Times New Roman" w:hAnsi="Times New Roman"/>
          <w:sz w:val="18"/>
          <w:szCs w:val="18"/>
          <w:color w:val="auto"/>
        </w:rPr>
      </w:pPr>
    </w:p>
    <w:p>
      <w:pPr>
        <w:ind w:left="1300" w:right="20" w:hanging="64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shareholders to sell a specified number of such shares at a stipulated price per share;</w:t>
      </w:r>
    </w:p>
    <w:p>
      <w:pPr>
        <w:spacing w:after="0" w:line="9" w:lineRule="exact"/>
        <w:rPr>
          <w:rFonts w:ascii="Times New Roman" w:cs="Times New Roman" w:eastAsia="Times New Roman" w:hAnsi="Times New Roman"/>
          <w:sz w:val="18"/>
          <w:szCs w:val="18"/>
          <w:color w:val="auto"/>
        </w:rPr>
      </w:pPr>
    </w:p>
    <w:p>
      <w:pPr>
        <w:ind w:left="1300" w:right="20" w:hanging="64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the selling shareholders may sell the securities (1) through underwriters or dealers, (2) through agents or (3) directly to one or more purchasers, or through a combination of such methods. We or the selling shareholders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spacing w:after="0" w:line="180" w:lineRule="exact"/>
        <w:rPr>
          <w:sz w:val="20"/>
          <w:szCs w:val="20"/>
          <w:color w:val="auto"/>
        </w:rPr>
      </w:pPr>
    </w:p>
    <w:p>
      <w:pPr>
        <w:ind w:left="1300" w:hanging="64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the selling shareholders utilize a dealer in the sale of the securities being offered by this prospectus, we or the selling shareholders, as applicable, will sell the securities to the dealer, as principal. The dealer may then resell the securities to the public at varying prices to be determined by the dealer at the time of resale.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selling shareholders,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or the selling shareholders,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the selling securities may enter into agreements to indemnify underwriters, dealers and agents against civil liabilities, including liabilities under the Securities Act, or to contribute to payments they may be required to make in respect thereof. To the extent required by the Purchase Agreements, we have agreed to indemnify certain of the selling shareholders against liabilities, including liabilities under the Securities Act and state securities laws, relating to the registration of certain of the shares offered by this prospectus.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If so indicated in a prospectus supplement, if required, we or the selling shareholders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130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jc w:val="both"/>
        <w:ind w:left="1300" w:hanging="644"/>
        <w:spacing w:after="0" w:line="255"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selling shareholders and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 Selling shareholders who are “underwriters” within the meaning of Section 2(a)(11) of the Securities Act will be subject to the prospectus delivery requirements of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shareholders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broker-dealers to participate in sales. If the selling shareholders effect such transactions by selling Common Shares to or through underwriters, broker-dealers or agents, such underwriters, broker-dealers or agents may receive commissions in the form of discounts, concessions or commissions from the selling shareholders or commissions from purchasers of the Common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5110.</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sales of the Common Shares or otherwise, the selling shareholders may enter into hedging transactions with broker-dealers or other financial institutions, which may in turn engage in short sales of the Common Shares in the course of hedging in positions they assume. The selling shareholders may also sell Common Shares short and if such short sale shall take place after the effective date of this registration statement, the selling shareholders may deliver Common Shares covered by this prospectus to close out short positions and to return borrowed shares in connection with such short sales. The selling shareholders may also loan or pledge Common Shares to broker-dealers that in turn may sell 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if required). Notwithstanding the foregoing, the selling shareholders have been advised that they may not use shares registered on this registration statement to cover short sales of Common Shares made prior to the effective date of the registration statement, of which this prospectus forms a part.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Common Shares owned by them and, if they default in the performance of their secured obligations, the pledgees or secured parties may offer and sell the Common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Common Shares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selling shareholder has informed the Company that it is not a registered broker-dealer and does not have any written or oral agreement or understanding, directly or indirectly, with any person to distribute the Common Shares. Upon the Company being notified in writing by a selling shareholders that any material arrangement has been entered into with a broker-dealer for the sale of Common Shares through a block trade, special offering, exchange distribution or secondary distribution or a purchase by a broker or dealer, a supplement to this prospectus will be filed, if required, pursuant to Rule 424(b) under the Securities Act, disclosing (i) the name of each such selling shareholders and of the participating broker-dealer(s), (ii) the number of shares involved, (iii) the price at which such the Common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shareholders will sell any or all of the Common Shares registered pursuant to the shelf registration statement, of which this prospectus forms a part.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selling shareholder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Common Shares by the selling shareholders and any other participating person. Regulation M may also restrict the ability of any person engaged in the distribution of the Common Shares to engage in market-making activities with respect to the Common Shares. All of the foregoing may affect the marketability of the Common Shares and the ability of any person or entity to engage in market-making activities with respect to the Common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all expenses of the registration of the Common Shares pursuant to the Purchase Agreements, including, without limitation, SEC filing fees and expenses of compliance with state securities or “blue sky” laws; provided, however, that each selling shareholder will pay all underwriting discounts and selling commissions, if any. We will indemnify the selling shareholders against certain liabilities, including some liabilities under the Securities Act, in accordance with the Purchase Agreements, or the selling shareholders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in accordance with the Purchase Agreements, or we may be entitled to contribution.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 AND SPECIAL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consists of (a) an unlimited number of Common Shares, (b) an unlimited number of preferred shares, issuable in series,</w:t>
      </w:r>
    </w:p>
    <w:p>
      <w:pPr>
        <w:spacing w:after="0" w:line="27" w:lineRule="exact"/>
        <w:rPr>
          <w:sz w:val="20"/>
          <w:szCs w:val="20"/>
          <w:color w:val="auto"/>
        </w:rPr>
      </w:pPr>
    </w:p>
    <w:p>
      <w:pPr>
        <w:jc w:val="both"/>
        <w:ind w:firstLine="8"/>
        <w:spacing w:after="0" w:line="255"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were 265,529,989 Common Shares issued and outstanding. As of September 30, 2022, we had approximately 125 record holders of our Common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(British Columbia), or the BCBCA, and prior rights of the holders of preferred shares and any other class ranking senior to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listed for trading on the Nasdaq Global Select Market under the symbol “TMC”.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there were issued and outstanding (a) 4,999,973 Class A Special Shares, (b) 9,999,853 Class B Special Shares, (c) 9,999,853 Class C Special Shares, (d) 19,999,855 Class D Special Shares, (e) 19,999,855 Class E Special Shares, (f) 19,999,855 Class F Special Shares,</w:t>
      </w: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24,999,860 Class G Special Shares, (h) 24,999,860 Class H Special Shares, (i) 500,000 Class I Special Shares and (j) 741,000 Class J Special Shares.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(unless adjusted as described below) upon the occurrence of the following events:</w:t>
      </w:r>
    </w:p>
    <w:p>
      <w:pPr>
        <w:spacing w:after="0" w:line="162" w:lineRule="exact"/>
        <w:rPr>
          <w:sz w:val="20"/>
          <w:szCs w:val="20"/>
          <w:color w:val="auto"/>
        </w:rPr>
      </w:pPr>
    </w:p>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66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preferred shares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or Exchange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or Sale; No Protection in Event of a Change of Control or Highly Leveraged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jc w:val="both"/>
        <w:ind w:left="660" w:hanging="328"/>
        <w:spacing w:after="0" w:line="253"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Concerning the Debenture Trustee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and Paying Agents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 of Subordinated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common shares and the number of our common shares to be received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preferred shares, the number of preferred shares to be received upon exercise, and a description of that series of our preferred shares;</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shares, preferred shares and/or debt securities will be separately transferable;</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warrants;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warrants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2022,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w:t>
      </w:r>
    </w:p>
    <w:p>
      <w:pPr>
        <w:spacing w:after="0" w:line="5" w:lineRule="exact"/>
        <w:rPr>
          <w:sz w:val="20"/>
          <w:szCs w:val="20"/>
          <w:color w:val="auto"/>
        </w:rPr>
      </w:pPr>
    </w:p>
    <w:p>
      <w:pPr>
        <w:jc w:val="both"/>
        <w:ind w:firstLine="8"/>
        <w:spacing w:after="0" w:line="250" w:lineRule="auto"/>
        <w:tabs>
          <w:tab w:leader="none" w:pos="2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8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w:t>
      </w:r>
    </w:p>
    <w:p>
      <w:pPr>
        <w:jc w:val="both"/>
        <w:ind w:firstLine="8"/>
        <w:spacing w:after="0" w:line="252" w:lineRule="auto"/>
        <w:tabs>
          <w:tab w:leader="none" w:pos="2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Warrant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is Continental Stock Transfer &amp; Trust Company.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listed for trading on the Nasdaq Global Select Market under the symbol “TMCWW”.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2022,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Allseas Warrant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2021, DeepGreen issued a warrant to Allseas Group S.A., or the Allseas Warrant, which shall vest upon successful completion of a prescribed project, referred to as the PMTS, and become exercisable for a maximum of 11,578,620 Common Shares (as it may be adjusted based on the formula described therein) at a purchase price of $0.01 per share. A maximum of 11.6 million warrants to purchase common shares will vest if the PMTS is completed by September 30, 2023, gradually decreasing to 5.8 million warrants to purchase Common Shares if PMTS is completed after September 30, 2025. The Allseas Warrant shall vest only upon (and not before) the successful completion of PMTS and will expire on September 30, 2026.</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unit agreement;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OF ARTICLES AND ARTICLES AND THE BCBCA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articles and articles do not contain stated objects or purposes and do not place any limitations on the business that we may carry 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w:t>
      </w:r>
    </w:p>
    <w:p>
      <w:pPr>
        <w:spacing w:after="0" w:line="6" w:lineRule="exact"/>
        <w:rPr>
          <w:sz w:val="20"/>
          <w:szCs w:val="20"/>
          <w:color w:val="auto"/>
        </w:rPr>
      </w:pPr>
    </w:p>
    <w:p>
      <w:pPr>
        <w:jc w:val="both"/>
        <w:ind w:firstLine="8"/>
        <w:spacing w:after="0" w:line="255" w:lineRule="auto"/>
        <w:tabs>
          <w:tab w:leader="none" w:pos="3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Number of shares required to be owned by a director. Our Articles do not and the BCBCA does not provide that a director is required to hold any of Common Shares as a qualification for holding his or her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of articles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CAD$1.711 billion. For most other investors who are not state-owned enterprises the threshold is currently CAD$1.141 billion for 2022.</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pre-or post-closing basis.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t>Certain transactions relating to Common Shares will generally be exempt from the Investment Canada Act, subject to the federal government’s prerogative to conduct a national-security review, including:</w:t>
      </w:r>
    </w:p>
    <w:p>
      <w:pPr>
        <w:spacing w:after="0" w:line="16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person’s business as a trader or dealer in securities;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ind w:left="980" w:right="20" w:hanging="324"/>
        <w:spacing w:after="0" w:line="26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97" w:lineRule="exact"/>
        <w:rPr>
          <w:sz w:val="20"/>
          <w:szCs w:val="20"/>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7" w:lineRule="exact"/>
        <w:rPr>
          <w:rFonts w:ascii="Times New Roman" w:cs="Times New Roman" w:eastAsia="Times New Roman" w:hAnsi="Times New Roman"/>
          <w:sz w:val="18"/>
          <w:szCs w:val="18"/>
          <w:color w:val="auto"/>
        </w:rPr>
      </w:pPr>
    </w:p>
    <w:p>
      <w:pPr>
        <w:ind w:left="720" w:hanging="334"/>
        <w:spacing w:after="0" w:line="182" w:lineRule="auto"/>
        <w:tabs>
          <w:tab w:leader="none" w:pos="72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investors that hold our Common Shares or public warrants as part of a “straddle,” “hedge,” “conversion,” “synthetic security,” “constructive ownership transaction,” “constructive sale” or other integrated transaction for U.S. federal income tax purposes;</w:t>
      </w: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3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7" w:lineRule="exact"/>
        <w:rPr>
          <w:rFonts w:ascii="Times New Roman" w:cs="Times New Roman" w:eastAsia="Times New Roman" w:hAnsi="Times New Roman"/>
          <w:sz w:val="18"/>
          <w:szCs w:val="18"/>
          <w:color w:val="auto"/>
        </w:rPr>
      </w:pPr>
    </w:p>
    <w:p>
      <w:pPr>
        <w:ind w:left="720" w:hanging="334"/>
        <w:spacing w:after="0" w:line="182" w:lineRule="auto"/>
        <w:tabs>
          <w:tab w:leader="none" w:pos="72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U.S. Holders owning or considered as owning (directly, indirectly, or through attribution) 5% (measured by vote or value) or more of our Common Shares;</w:t>
      </w:r>
    </w:p>
    <w:p>
      <w:pPr>
        <w:ind w:left="720" w:hanging="334"/>
        <w:spacing w:after="0" w:line="180" w:lineRule="auto"/>
        <w:tabs>
          <w:tab w:leader="none" w:pos="720" w:val="left"/>
        </w:tabs>
        <w:numPr>
          <w:ilvl w:val="0"/>
          <w:numId w:val="3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persons that acquired our Common Shares or public warrants pursuant to an exercise of employee share options, in connection with employee share incentive plans or otherwise as compensation as compensation;</w:t>
      </w: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3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7"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(except to the limited extent provided herein); and</w:t>
      </w:r>
    </w:p>
    <w:p>
      <w:pPr>
        <w:spacing w:after="0" w:line="22"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239" w:lineRule="exact"/>
        <w:rPr>
          <w:sz w:val="20"/>
          <w:szCs w:val="20"/>
          <w:color w:val="auto"/>
        </w:rPr>
      </w:pPr>
    </w:p>
    <w:p>
      <w:pPr>
        <w:ind w:left="720" w:hanging="33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7" w:lineRule="exact"/>
        <w:rPr>
          <w:rFonts w:ascii="Times New Roman" w:cs="Times New Roman" w:eastAsia="Times New Roman" w:hAnsi="Times New Roman"/>
          <w:sz w:val="18"/>
          <w:szCs w:val="18"/>
          <w:color w:val="auto"/>
        </w:rPr>
      </w:pPr>
    </w:p>
    <w:p>
      <w:pPr>
        <w:ind w:left="720" w:right="20" w:hanging="334"/>
        <w:spacing w:after="0" w:line="182" w:lineRule="auto"/>
        <w:tabs>
          <w:tab w:leader="none" w:pos="720" w:val="left"/>
        </w:tabs>
        <w:numPr>
          <w:ilvl w:val="0"/>
          <w:numId w:val="3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 corporation (including an entity treated as a corporation for U.S. federal income tax purposes) created or organized in or under the laws of the United States, any state thereof or the District of Columbia;</w:t>
      </w:r>
    </w:p>
    <w:p>
      <w:pPr>
        <w:ind w:left="720" w:hanging="33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w:t>
      </w:r>
    </w:p>
    <w:p>
      <w:pPr>
        <w:spacing w:after="0" w:line="22" w:lineRule="exact"/>
        <w:rPr>
          <w:rFonts w:ascii="Times New Roman" w:cs="Times New Roman" w:eastAsia="Times New Roman" w:hAnsi="Times New Roman"/>
          <w:sz w:val="18"/>
          <w:szCs w:val="18"/>
          <w:color w:val="auto"/>
        </w:rPr>
      </w:pPr>
    </w:p>
    <w:p>
      <w:pPr>
        <w:ind w:left="720" w:hanging="334"/>
        <w:spacing w:after="0" w:line="260"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 of the Code) who have the authority to control all substantial decisions of the trust or (B) that has in effect a valid election under applicable Treasury Regulations to be treated as a U.S. person.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w:t>
      </w:r>
      <w:r>
        <w:rPr>
          <w:rFonts w:ascii="Times New Roman" w:cs="Times New Roman" w:eastAsia="Times New Roman" w:hAnsi="Times New Roman"/>
          <w:sz w:val="18"/>
          <w:szCs w:val="18"/>
          <w:color w:val="auto"/>
        </w:rPr>
        <w:t>” The amount of any such distribution will include any amounts withheld by us (or another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 w:cs="Times New Roman" w:eastAsia="Times New Roman" w:hAnsi="Times New Roman"/>
          <w:sz w:val="18"/>
          <w:szCs w:val="18"/>
          <w:i w:val="1"/>
          <w:iCs w:val="1"/>
          <w:color w:val="auto"/>
        </w:rPr>
        <w:t>- Tax Consequences of Ownership and Disposition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and Public Warrants - Exercise or Lapse of a Public Warrant</w:t>
      </w:r>
      <w:r>
        <w:rPr>
          <w:rFonts w:ascii="Times New Roman" w:cs="Times New Roman" w:eastAsia="Times New Roman" w:hAnsi="Times New Roman"/>
          <w:sz w:val="18"/>
          <w:szCs w:val="18"/>
          <w:color w:val="auto"/>
        </w:rPr>
        <w:t>”). Any such gain or loss generally will be capital gain or loss and will be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 </w:t>
      </w:r>
      <w:r>
        <w:rPr>
          <w:rFonts w:ascii="Times New Roman" w:cs="Times New Roman" w:eastAsia="Times New Roman" w:hAnsi="Times New Roman"/>
          <w:sz w:val="18"/>
          <w:szCs w:val="18"/>
          <w:i w:val="1"/>
          <w:iCs w:val="1"/>
          <w:color w:val="auto"/>
        </w:rPr>
        <w:t>Tax Consequences of Ownership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 - Sale, Taxable Exchange or Other Taxable Disposition of Common Shares and Public Warrants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Dividends and Other Distributions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Common 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are urged to consult their tax advisors on the tax consequences any such constructive distribution with respect to a public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the Company is treated as a PFIC for U.S. federal income tax purposes.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initial assessment, we do not believe that the Company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39" w:lineRule="exact"/>
        <w:rPr>
          <w:sz w:val="20"/>
          <w:szCs w:val="20"/>
          <w:color w:val="auto"/>
        </w:rPr>
      </w:pPr>
    </w:p>
    <w:p>
      <w:pPr>
        <w:ind w:left="720" w:hanging="33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w:t>
      </w:r>
    </w:p>
    <w:p>
      <w:pPr>
        <w:spacing w:after="0" w:line="22" w:lineRule="exact"/>
        <w:rPr>
          <w:rFonts w:ascii="Times New Roman" w:cs="Times New Roman" w:eastAsia="Times New Roman" w:hAnsi="Times New Roman"/>
          <w:sz w:val="18"/>
          <w:szCs w:val="18"/>
          <w:color w:val="auto"/>
        </w:rPr>
      </w:pPr>
    </w:p>
    <w:p>
      <w:pPr>
        <w:ind w:left="720" w:right="20" w:hanging="334"/>
        <w:spacing w:after="0" w:line="26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 in the U.S. Holder’s holding period before the first day of the Company’s first taxable year in which the Company is a PFIC, will be taxed as ordinary income;</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ind w:left="720" w:hanging="334"/>
        <w:spacing w:after="0" w:line="184" w:lineRule="auto"/>
        <w:tabs>
          <w:tab w:leader="none" w:pos="720" w:val="left"/>
        </w:tabs>
        <w:numPr>
          <w:ilvl w:val="0"/>
          <w:numId w:val="3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amount allocated to other taxable years (or portions thereof) of the U.S. Holder and included in its holding period will be taxed at the highest tax rate in effect for that year and applicable to the U.S. Holder; and</w:t>
      </w:r>
    </w:p>
    <w:p>
      <w:pPr>
        <w:ind w:left="720" w:hanging="334"/>
        <w:spacing w:after="0" w:line="180" w:lineRule="auto"/>
        <w:tabs>
          <w:tab w:leader="none" w:pos="720" w:val="left"/>
        </w:tabs>
        <w:numPr>
          <w:ilvl w:val="0"/>
          <w:numId w:val="3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and the regulations thereunder, (the “Tax Act”) that generally apply to the acquisition, holding or disposition of Common Shares and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by a person who is neither resident nor deemed to be resident in Canada for purposes of the Tax Act and acquires a beneficial interest in Common Shares or public warrants, (a “Non-Resident Holder”).</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39" w:lineRule="exact"/>
        <w:rPr>
          <w:sz w:val="20"/>
          <w:szCs w:val="20"/>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or public warrants as capital property;</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 the Non-Resident Holder, (b) persons with whom the Non-Resident Holder does not deal with at arm’s length, (c) partnerships in which the</w:t>
      </w:r>
    </w:p>
    <w:p>
      <w:pPr>
        <w:spacing w:after="0" w:line="27" w:lineRule="exact"/>
        <w:rPr>
          <w:sz w:val="20"/>
          <w:szCs w:val="20"/>
          <w:color w:val="auto"/>
        </w:rPr>
      </w:pPr>
    </w:p>
    <w:p>
      <w:pPr>
        <w:ind w:left="840" w:hanging="400"/>
        <w:spacing w:after="0" w:line="250"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Holder or a person described in (b) holds an interest directly or indirectly through one or more partnerships, or (d) any combination of (a) to (c), owned 25% or more of the issued shares of any class or series of our capital stock; and</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w:t>
      </w:r>
    </w:p>
    <w:p>
      <w:pPr>
        <w:spacing w:after="0" w:line="9" w:lineRule="exact"/>
        <w:rPr>
          <w:rFonts w:ascii="Times New Roman" w:cs="Times New Roman" w:eastAsia="Times New Roman" w:hAnsi="Times New Roman"/>
          <w:sz w:val="18"/>
          <w:szCs w:val="18"/>
          <w:color w:val="auto"/>
        </w:rPr>
      </w:pPr>
    </w:p>
    <w:p>
      <w:pPr>
        <w:jc w:val="both"/>
        <w:ind w:left="840" w:right="20" w:hanging="400"/>
        <w:spacing w:after="0" w:line="187" w:lineRule="auto"/>
        <w:tabs>
          <w:tab w:leader="none" w:pos="840" w:val="left"/>
        </w:tabs>
        <w:numPr>
          <w:ilvl w:val="0"/>
          <w:numId w:val="3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2021 and 2020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u w:val="single" w:color="auto"/>
            <w:color w:val="0000EE"/>
          </w:rPr>
          <w:t>our Annual Report on Form 10-K for the fiscal year ended December 31, 2021 that we filed with the SEC on March 25, 2022;</w:t>
        </w:r>
      </w:hyperlink>
    </w:p>
    <w:p>
      <w:pPr>
        <w:spacing w:after="0" w:line="27" w:lineRule="exact"/>
        <w:rPr>
          <w:rFonts w:ascii="Times New Roman" w:cs="Times New Roman" w:eastAsia="Times New Roman" w:hAnsi="Times New Roman"/>
          <w:sz w:val="18"/>
          <w:szCs w:val="18"/>
          <w:u w:val="single" w:color="auto"/>
          <w:color w:val="0000EE"/>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2022 and June 30, 2022 that we filed with the SEC on </w:t>
      </w:r>
      <w:hyperlink r:id="rId65">
        <w:r>
          <w:rPr>
            <w:rFonts w:ascii="Times New Roman" w:cs="Times New Roman" w:eastAsia="Times New Roman" w:hAnsi="Times New Roman"/>
            <w:sz w:val="18"/>
            <w:szCs w:val="18"/>
            <w:u w:val="single" w:color="auto"/>
            <w:color w:val="0000EE"/>
          </w:rPr>
          <w:t>May 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6">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000000"/>
        </w:rPr>
        <w:t>;</w:t>
      </w:r>
    </w:p>
    <w:p>
      <w:pPr>
        <w:ind w:left="660" w:hanging="328"/>
        <w:spacing w:after="0" w:line="260" w:lineRule="auto"/>
        <w:tabs>
          <w:tab w:leader="none" w:pos="660" w:val="left"/>
        </w:tabs>
        <w:numPr>
          <w:ilvl w:val="0"/>
          <w:numId w:val="3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and amendments thereto that we filed with the SEC on </w:t>
      </w:r>
      <w:hyperlink r:id="rId67">
        <w:r>
          <w:rPr>
            <w:rFonts w:ascii="Times New Roman" w:cs="Times New Roman" w:eastAsia="Times New Roman" w:hAnsi="Times New Roman"/>
            <w:sz w:val="18"/>
            <w:szCs w:val="18"/>
            <w:u w:val="single" w:color="auto"/>
            <w:color w:val="0000EE"/>
          </w:rPr>
          <w:t>February 10, 2022</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March 17, 2022</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June 2, 2022</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August 15, 2022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 xml:space="preserve">October 3, 2022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any portion of such filings that are furnished under applicable SEC rules rather than filed);</w:t>
      </w:r>
    </w:p>
    <w:p>
      <w:pPr>
        <w:spacing w:after="0" w:line="181"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660" w:hanging="328"/>
        <w:spacing w:after="0" w:line="261" w:lineRule="auto"/>
        <w:tabs>
          <w:tab w:leader="none" w:pos="660" w:val="left"/>
        </w:tabs>
        <w:numPr>
          <w:ilvl w:val="0"/>
          <w:numId w:val="38"/>
        </w:numPr>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the description of our Common Shares contained in our Registration Statement on Form 8-A filed with the SEC on September 10, 2021, including</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any amendment or report filed for the purpose of updating such description; and</w:t>
        </w:r>
      </w:hyperlink>
    </w:p>
    <w:p>
      <w:pPr>
        <w:jc w:val="both"/>
        <w:ind w:left="660" w:hanging="328"/>
        <w:spacing w:after="0" w:line="253"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001-39281.</w:t>
      </w:r>
    </w:p>
    <w:p>
      <w:pPr>
        <w:spacing w:after="0" w:line="225"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595 Howe Street, 10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V6C 2T5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(574) 252-9333</w:t>
      </w:r>
    </w:p>
    <w:p>
      <w:pPr>
        <w:spacing w:after="0" w:line="205" w:lineRule="exact"/>
        <w:rPr>
          <w:rFonts w:ascii="Times New Roman" w:cs="Times New Roman" w:eastAsia="Times New Roman" w:hAnsi="Times New Roman"/>
          <w:sz w:val="18"/>
          <w:szCs w:val="18"/>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96"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586105</wp:posOffset>
            </wp:positionV>
            <wp:extent cx="1911350" cy="643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43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ectPr>
          <w:pgSz w:w="11900" w:h="16838" w:orient="portrait"/>
          <w:cols w:equalWidth="0" w:num="1">
            <w:col w:w="9019"/>
          </w:cols>
          <w:pgMar w:left="1440" w:top="1440"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$100 MILLION OF</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PREFERRED SHARES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9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22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5"/>
          <w:szCs w:val="25"/>
          <w:b w:val="1"/>
          <w:bCs w:val="1"/>
          <w:color w:val="auto"/>
        </w:rPr>
        <w:t>38,266,180 COMMON SHARES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OFFERED BY SELLING SHAREHOLDERS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an itemization of the various expenses, all of which we will pay, in connection with the issuance and distribution of the securities being registered. All of the amounts shown are estimated except the SEC Registration Fee and the FINRA Filing Fee.</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12,817.28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3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460" w:right="20" w:hanging="448"/>
        <w:spacing w:after="0" w:line="261"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expenses not presently known. The foregoing sets forth the general categories of fees and expenses (other than underwriting discounts and commissions) that we anticipate we will incur in connection with the offering of securities under this registration statement. An estimate of the aggregate fees and expenses in connection with the issuance and distribution of the securities being offered will be included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a director or officer, a former director or officer, or a person who acts or acted at the company’s request as a director or officer, or an individual acting in a similar capacity, of another entity, which we refer to as an eligible party, against all costs, charges and expenses, including an amount paid to settle an action or satisfy a judgment, reasonably incurred by him or her in respect of any civil, criminal, administrative, investigative or other proceeding in which he or she is involved because of that association with the company or other entity, if: (1) the individual acted honestly and in good faith with a view to the best interests of such company or the other entity, as the case may be; and (2) in the case of a proceeding other than a civil proceeding, the individual had reasonable grounds for believing that the individual’s conduct was lawful. A company cannot indemnify an eligible party if it is prohibited from doing so under its articles, even if it had agreed to do so by an indemnification agreement (provided that the articles prohibited indemnification when the indemnification agreement was made). A company may advance the expenses of an eligible party as they are incurred in an eligible proceeding only if the eligible party has provided an undertaking that, if it is ultimately determined that the payment of expenses was prohibited, the eligible party will repay any amounts advanced. On application from an eligible party, a court may make any order the court considers appropriate in respect of an eligible proceeding, including the indemnification of penalties imposed or expenses incurred in any such proceedings and the enforcement of an indemnification agreement.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Subject to the BCBCA, our Articles require us to indemnify an eligible party and his or her heirs and legal personal representatives against all eligible penalties to which such person is or may be liable, and we must after final disposition of an eligible proceeding, pay the expenses actually and reasonably incurred by such person in respect of that proceeding. Each eligible party is deemed to have contracted with us on the terms of the indemnity contained in our Articles. In addition, our Articles specify that failure of an eligible party to comply with the provisions of the BCBCA or our Articles will not invalidate any indemnity to which he or she is entitled. Our Articles also allow for us to purchase and maintain insurance for the benefit of specified eligible parties.</w:t>
      </w: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indemnity agreements with our directors and certain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 and subject to the terms and conditions of such indemnity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We have also purchased insurance policies relating to certain liabilities that our directors and officers may incur in such capacity.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herewith or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Reference herein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840" w:type="dxa"/>
            <w:vAlign w:val="bottom"/>
          </w:tcPr>
          <w:p>
            <w:pPr>
              <w:spacing w:after="0"/>
              <w:rPr>
                <w:sz w:val="18"/>
                <w:szCs w:val="18"/>
                <w:color w:val="auto"/>
              </w:rPr>
            </w:pPr>
          </w:p>
        </w:tc>
        <w:tc>
          <w:tcPr>
            <w:tcW w:w="3940" w:type="dxa"/>
            <w:vAlign w:val="bottom"/>
            <w:gridSpan w:val="11"/>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vMerge w:val="restart"/>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from Form or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 File/ Reg.</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11"/>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426"/>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Securities Purchase Agreement, dated August 12, 2022, by and among</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8/15/2022</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the Company and the Purchasers named therein.</w:t>
              </w:r>
            </w:hyperlink>
          </w:p>
        </w:tc>
        <w:tc>
          <w:tcPr>
            <w:tcW w:w="2280" w:type="dxa"/>
            <w:vAlign w:val="bottom"/>
            <w:tcBorders>
              <w:top w:val="single" w:sz="8" w:color="0000EE"/>
            </w:tcBorders>
            <w:gridSpan w:val="4"/>
          </w:tcPr>
          <w:p>
            <w:pPr>
              <w:spacing w:after="0"/>
              <w:rPr>
                <w:sz w:val="17"/>
                <w:szCs w:val="17"/>
                <w:color w:val="auto"/>
              </w:rPr>
            </w:pPr>
          </w:p>
        </w:tc>
        <w:tc>
          <w:tcPr>
            <w:tcW w:w="1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Securities Purchase Agreement, dated August 12, 2022, by and among the</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8/15/2022</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80" w:type="dxa"/>
            <w:vAlign w:val="bottom"/>
            <w:gridSpan w:val="1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Company and Gerard Barron.</w:t>
              </w:r>
            </w:hyperlink>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Securities Purchase Agreement, dated August 12, 2022, by and among the</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8/15/2022</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80" w:type="dxa"/>
            <w:vAlign w:val="bottom"/>
            <w:gridSpan w:val="13"/>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Company and ERAS Capital LLC.</w:t>
              </w:r>
            </w:hyperlink>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Notice of Articles of TMC the metals company Inc.</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Articles of TMC the metals company Inc.</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3.2)</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TMC the metals company Inc. Common Share Certificate</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4.1)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Warrant Agreement between Continental Stock Transfer &amp; Trust Company and</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5/8/2020</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Sustainable Opportunities Acquisition Corp., dated May 8, 2020</w:t>
              </w:r>
            </w:hyperlink>
          </w:p>
        </w:tc>
        <w:tc>
          <w:tcPr>
            <w:tcW w:w="1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(Exhibit 4.1)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Warrant to Purchase Common Shares issued by DeepGreen Metals Inc. to</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Allseas Group S.A. on March 4, 2021</w:t>
              </w:r>
            </w:hyperlink>
          </w:p>
        </w:tc>
        <w:tc>
          <w:tcPr>
            <w:tcW w:w="1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(Exhibit 4.5)</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Instrument with respect to Preferred Shares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0" w:type="dxa"/>
            <w:vAlign w:val="bottom"/>
            <w:gridSpan w:val="2"/>
          </w:tcPr>
          <w:p>
            <w:pPr>
              <w:ind w:left="20"/>
              <w:spacing w:after="0"/>
              <w:rPr>
                <w:rFonts w:ascii="Times New Roman" w:cs="Times New Roman" w:eastAsia="Times New Roman" w:hAnsi="Times New Roman"/>
                <w:sz w:val="18"/>
                <w:szCs w:val="18"/>
                <w:color w:val="0000EE"/>
                <w:w w:val="92"/>
              </w:rPr>
            </w:pPr>
            <w:hyperlink r:id="rId86">
              <w:r>
                <w:rPr>
                  <w:rFonts w:ascii="Times New Roman" w:cs="Times New Roman" w:eastAsia="Times New Roman" w:hAnsi="Times New Roman"/>
                  <w:sz w:val="18"/>
                  <w:szCs w:val="18"/>
                  <w:color w:val="0000EE"/>
                  <w:w w:val="92"/>
                </w:rPr>
                <w:t>4.</w:t>
              </w:r>
              <w:r>
                <w:rPr>
                  <w:rFonts w:ascii="Times New Roman" w:cs="Times New Roman" w:eastAsia="Times New Roman" w:hAnsi="Times New Roman"/>
                  <w:sz w:val="18"/>
                  <w:szCs w:val="18"/>
                  <w:u w:val="single" w:color="auto"/>
                  <w:color w:val="0000EE"/>
                  <w:w w:val="92"/>
                </w:rPr>
                <w:t>7***</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Senior Indenture</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ind w:left="20"/>
              <w:spacing w:after="0"/>
              <w:rPr>
                <w:rFonts w:ascii="Times New Roman" w:cs="Times New Roman" w:eastAsia="Times New Roman" w:hAnsi="Times New Roman"/>
                <w:sz w:val="18"/>
                <w:szCs w:val="18"/>
                <w:color w:val="0000EE"/>
                <w:w w:val="92"/>
              </w:rPr>
            </w:pPr>
            <w:hyperlink r:id="rId87">
              <w:r>
                <w:rPr>
                  <w:rFonts w:ascii="Times New Roman" w:cs="Times New Roman" w:eastAsia="Times New Roman" w:hAnsi="Times New Roman"/>
                  <w:sz w:val="18"/>
                  <w:szCs w:val="18"/>
                  <w:color w:val="0000EE"/>
                  <w:w w:val="92"/>
                </w:rPr>
                <w:t>4.</w:t>
              </w:r>
              <w:r>
                <w:rPr>
                  <w:rFonts w:ascii="Times New Roman" w:cs="Times New Roman" w:eastAsia="Times New Roman" w:hAnsi="Times New Roman"/>
                  <w:sz w:val="18"/>
                  <w:szCs w:val="18"/>
                  <w:u w:val="single" w:color="auto"/>
                  <w:color w:val="0000EE"/>
                  <w:w w:val="92"/>
                </w:rPr>
                <w:t>8***</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Subordinated Indenture</w:t>
              </w:r>
            </w:hyperlink>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Senior Debt Security</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Subordinated Debt Security</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Warrant Agreement and Warrant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Unit Agreement and Unit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tbl>
      <w:tblPr>
        <w:tblLayout w:type="fixed"/>
        <w:tblInd w:w="8" w:type="dxa"/>
        <w:tblCellMar>
          <w:top w:w="0" w:type="dxa"/>
          <w:left w:w="0" w:type="dxa"/>
          <w:bottom w:w="0" w:type="dxa"/>
          <w:right w:w="0" w:type="dxa"/>
        </w:tblCellMar>
      </w:tblPr>
      <w:tr>
        <w:trPr>
          <w:trHeight w:val="207"/>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Opinion of Fasken Martineau DuMoulin LLP</w:t>
            </w:r>
          </w:p>
        </w:tc>
        <w:tc>
          <w:tcPr>
            <w:tcW w:w="320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1"/>
              </w:rPr>
              <w:t>X</w:t>
            </w: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4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2"/>
              </w:rPr>
            </w:pPr>
            <w:hyperlink r:id="rId89">
              <w:r>
                <w:rPr>
                  <w:rFonts w:ascii="Times New Roman" w:cs="Times New Roman" w:eastAsia="Times New Roman" w:hAnsi="Times New Roman"/>
                  <w:sz w:val="18"/>
                  <w:szCs w:val="18"/>
                  <w:color w:val="0000EE"/>
                  <w:w w:val="92"/>
                </w:rPr>
                <w:t>5.</w:t>
              </w:r>
              <w:r>
                <w:rPr>
                  <w:rFonts w:ascii="Times New Roman" w:cs="Times New Roman" w:eastAsia="Times New Roman" w:hAnsi="Times New Roman"/>
                  <w:sz w:val="18"/>
                  <w:szCs w:val="18"/>
                  <w:u w:val="single" w:color="auto"/>
                  <w:color w:val="0000EE"/>
                  <w:w w:val="92"/>
                </w:rPr>
                <w:t>2***</w:t>
              </w:r>
            </w:hyperlink>
          </w:p>
        </w:tc>
        <w:tc>
          <w:tcPr>
            <w:tcW w:w="100" w:type="dxa"/>
            <w:vAlign w:val="bottom"/>
            <w:tcBorders>
              <w:bottom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Opinion of Mintz, Levin, Cohn, Ferris, Glovsky and Popeo, P.C.</w:t>
              </w:r>
            </w:hyperlink>
          </w:p>
        </w:tc>
        <w:tc>
          <w:tcPr>
            <w:tcW w:w="184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5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2"/>
              </w:rPr>
            </w:pPr>
            <w:hyperlink r:id="rId90">
              <w:r>
                <w:rPr>
                  <w:rFonts w:ascii="Times New Roman" w:cs="Times New Roman" w:eastAsia="Times New Roman" w:hAnsi="Times New Roman"/>
                  <w:sz w:val="18"/>
                  <w:szCs w:val="18"/>
                  <w:color w:val="0000EE"/>
                  <w:w w:val="92"/>
                </w:rPr>
                <w:t>23.</w:t>
              </w:r>
              <w:r>
                <w:rPr>
                  <w:rFonts w:ascii="Times New Roman" w:cs="Times New Roman" w:eastAsia="Times New Roman" w:hAnsi="Times New Roman"/>
                  <w:sz w:val="18"/>
                  <w:szCs w:val="18"/>
                  <w:u w:val="single" w:color="auto"/>
                  <w:color w:val="0000EE"/>
                  <w:w w:val="92"/>
                </w:rPr>
                <w:t>1***</w:t>
              </w:r>
            </w:hyperlink>
          </w:p>
        </w:tc>
        <w:tc>
          <w:tcPr>
            <w:tcW w:w="280" w:type="dxa"/>
            <w:vAlign w:val="bottom"/>
          </w:tcPr>
          <w:p>
            <w:pPr>
              <w:spacing w:after="0"/>
              <w:rPr>
                <w:sz w:val="24"/>
                <w:szCs w:val="24"/>
                <w:color w:val="auto"/>
              </w:rPr>
            </w:pPr>
          </w:p>
        </w:tc>
        <w:tc>
          <w:tcPr>
            <w:tcW w:w="5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90">
              <w:r>
                <w:rPr>
                  <w:rFonts w:ascii="Times New Roman" w:cs="Times New Roman" w:eastAsia="Times New Roman" w:hAnsi="Times New Roman"/>
                  <w:sz w:val="18"/>
                  <w:szCs w:val="18"/>
                  <w:color w:val="0000EE"/>
                  <w:w w:val="98"/>
                </w:rPr>
                <w:t>Consent of Ernst &amp; Young LLP, independent registered public accounting firm</w:t>
              </w:r>
            </w:hyperlink>
          </w:p>
        </w:tc>
        <w:tc>
          <w:tcPr>
            <w:tcW w:w="82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180" w:type="dxa"/>
            <w:vAlign w:val="bottom"/>
            <w:tcBorders>
              <w:bottom w:val="single" w:sz="8" w:color="0000EE"/>
            </w:tcBorders>
          </w:tcPr>
          <w:p>
            <w:pPr>
              <w:spacing w:after="0"/>
              <w:rPr>
                <w:sz w:val="24"/>
                <w:szCs w:val="24"/>
                <w:color w:val="auto"/>
              </w:rPr>
            </w:pPr>
          </w:p>
        </w:tc>
        <w:tc>
          <w:tcPr>
            <w:tcW w:w="100" w:type="dxa"/>
            <w:vAlign w:val="bottom"/>
            <w:tcBorders>
              <w:bottom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1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Consent of Fasken Martineau DuMoulin LLP (included in Exhibit 5.1)</w:t>
            </w:r>
          </w:p>
        </w:tc>
        <w:tc>
          <w:tcPr>
            <w:tcW w:w="138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1"/>
              </w:rPr>
              <w:t>X</w:t>
            </w: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580" w:type="dxa"/>
            <w:vAlign w:val="bottom"/>
            <w:gridSpan w:val="4"/>
          </w:tcPr>
          <w:p>
            <w:pPr>
              <w:spacing w:after="0"/>
              <w:rPr>
                <w:rFonts w:ascii="Times New Roman" w:cs="Times New Roman" w:eastAsia="Times New Roman" w:hAnsi="Times New Roman"/>
                <w:sz w:val="18"/>
                <w:szCs w:val="18"/>
                <w:color w:val="0000EE"/>
                <w:w w:val="92"/>
              </w:rPr>
            </w:pPr>
            <w:hyperlink r:id="rId89">
              <w:r>
                <w:rPr>
                  <w:rFonts w:ascii="Times New Roman" w:cs="Times New Roman" w:eastAsia="Times New Roman" w:hAnsi="Times New Roman"/>
                  <w:sz w:val="18"/>
                  <w:szCs w:val="18"/>
                  <w:color w:val="0000EE"/>
                  <w:w w:val="92"/>
                </w:rPr>
                <w:t>23.</w:t>
              </w:r>
              <w:r>
                <w:rPr>
                  <w:rFonts w:ascii="Times New Roman" w:cs="Times New Roman" w:eastAsia="Times New Roman" w:hAnsi="Times New Roman"/>
                  <w:sz w:val="18"/>
                  <w:szCs w:val="18"/>
                  <w:u w:val="single" w:color="auto"/>
                  <w:color w:val="0000EE"/>
                  <w:w w:val="92"/>
                </w:rPr>
                <w:t>3***</w:t>
              </w:r>
            </w:hyperlink>
          </w:p>
        </w:tc>
        <w:tc>
          <w:tcPr>
            <w:tcW w:w="280" w:type="dxa"/>
            <w:vAlign w:val="bottom"/>
          </w:tcPr>
          <w:p>
            <w:pPr>
              <w:spacing w:after="0"/>
              <w:rPr>
                <w:sz w:val="24"/>
                <w:szCs w:val="24"/>
                <w:color w:val="auto"/>
              </w:rPr>
            </w:pPr>
          </w:p>
        </w:tc>
        <w:tc>
          <w:tcPr>
            <w:tcW w:w="6480" w:type="dxa"/>
            <w:vAlign w:val="bottom"/>
            <w:gridSpan w:val="21"/>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Consent of Mintz, Levin, Cohn, Ferris, Glovsky and Popeo, P.C. (included in</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89">
              <w:r>
                <w:rPr>
                  <w:rFonts w:ascii="Times New Roman" w:cs="Times New Roman" w:eastAsia="Times New Roman" w:hAnsi="Times New Roman"/>
                  <w:sz w:val="18"/>
                  <w:szCs w:val="18"/>
                  <w:color w:val="0000EE"/>
                  <w:w w:val="97"/>
                </w:rPr>
                <w:t>Exhibit 5.2)</w:t>
              </w:r>
            </w:hyperlink>
          </w:p>
        </w:tc>
        <w:tc>
          <w:tcPr>
            <w:tcW w:w="4680" w:type="dxa"/>
            <w:vAlign w:val="bottom"/>
            <w:tcBorders>
              <w:top w:val="single" w:sz="8" w:color="0000EE"/>
            </w:tcBorders>
            <w:gridSpan w:val="13"/>
          </w:tcPr>
          <w:p>
            <w:pPr>
              <w:spacing w:after="0"/>
              <w:rPr>
                <w:sz w:val="17"/>
                <w:szCs w:val="17"/>
                <w:color w:val="auto"/>
              </w:rPr>
            </w:pPr>
          </w:p>
        </w:tc>
        <w:tc>
          <w:tcPr>
            <w:tcW w:w="94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5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2"/>
              </w:rPr>
            </w:pPr>
            <w:hyperlink r:id="rId91">
              <w:r>
                <w:rPr>
                  <w:rFonts w:ascii="Times New Roman" w:cs="Times New Roman" w:eastAsia="Times New Roman" w:hAnsi="Times New Roman"/>
                  <w:sz w:val="18"/>
                  <w:szCs w:val="18"/>
                  <w:color w:val="0000EE"/>
                  <w:w w:val="92"/>
                </w:rPr>
                <w:t>23.</w:t>
              </w:r>
              <w:r>
                <w:rPr>
                  <w:rFonts w:ascii="Times New Roman" w:cs="Times New Roman" w:eastAsia="Times New Roman" w:hAnsi="Times New Roman"/>
                  <w:sz w:val="18"/>
                  <w:szCs w:val="18"/>
                  <w:u w:val="single" w:color="auto"/>
                  <w:color w:val="0000EE"/>
                  <w:w w:val="92"/>
                </w:rPr>
                <w:t>4***</w:t>
              </w:r>
            </w:hyperlink>
          </w:p>
        </w:tc>
        <w:tc>
          <w:tcPr>
            <w:tcW w:w="280" w:type="dxa"/>
            <w:vAlign w:val="bottom"/>
          </w:tcPr>
          <w:p>
            <w:pPr>
              <w:spacing w:after="0"/>
              <w:rPr>
                <w:sz w:val="24"/>
                <w:szCs w:val="24"/>
                <w:color w:val="auto"/>
              </w:rPr>
            </w:pPr>
          </w:p>
        </w:tc>
        <w:tc>
          <w:tcPr>
            <w:tcW w:w="2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Consent of AMC Consultants Pty Ltd.</w:t>
              </w:r>
            </w:hyperlink>
          </w:p>
        </w:tc>
        <w:tc>
          <w:tcPr>
            <w:tcW w:w="3720" w:type="dxa"/>
            <w:vAlign w:val="bottom"/>
            <w:gridSpan w:val="16"/>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5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2"/>
              </w:rPr>
            </w:pPr>
            <w:hyperlink r:id="rId92">
              <w:r>
                <w:rPr>
                  <w:rFonts w:ascii="Times New Roman" w:cs="Times New Roman" w:eastAsia="Times New Roman" w:hAnsi="Times New Roman"/>
                  <w:sz w:val="18"/>
                  <w:szCs w:val="18"/>
                  <w:color w:val="0000EE"/>
                  <w:w w:val="92"/>
                </w:rPr>
                <w:t>23.</w:t>
              </w:r>
              <w:r>
                <w:rPr>
                  <w:rFonts w:ascii="Times New Roman" w:cs="Times New Roman" w:eastAsia="Times New Roman" w:hAnsi="Times New Roman"/>
                  <w:sz w:val="18"/>
                  <w:szCs w:val="18"/>
                  <w:u w:val="single" w:color="auto"/>
                  <w:color w:val="0000EE"/>
                  <w:w w:val="92"/>
                </w:rPr>
                <w:t>5***</w:t>
              </w:r>
            </w:hyperlink>
          </w:p>
        </w:tc>
        <w:tc>
          <w:tcPr>
            <w:tcW w:w="280" w:type="dxa"/>
            <w:vAlign w:val="bottom"/>
          </w:tcPr>
          <w:p>
            <w:pPr>
              <w:spacing w:after="0"/>
              <w:rPr>
                <w:sz w:val="24"/>
                <w:szCs w:val="24"/>
                <w:color w:val="auto"/>
              </w:rPr>
            </w:pPr>
          </w:p>
        </w:tc>
        <w:tc>
          <w:tcPr>
            <w:tcW w:w="2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Consent of AMC Consultants Pty Ltd.</w:t>
              </w:r>
            </w:hyperlink>
          </w:p>
        </w:tc>
        <w:tc>
          <w:tcPr>
            <w:tcW w:w="3720" w:type="dxa"/>
            <w:vAlign w:val="bottom"/>
            <w:gridSpan w:val="16"/>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580" w:type="dxa"/>
            <w:vAlign w:val="bottom"/>
            <w:gridSpan w:val="4"/>
          </w:tcPr>
          <w:p>
            <w:pPr>
              <w:spacing w:after="0"/>
              <w:rPr>
                <w:rFonts w:ascii="Times New Roman" w:cs="Times New Roman" w:eastAsia="Times New Roman" w:hAnsi="Times New Roman"/>
                <w:sz w:val="18"/>
                <w:szCs w:val="18"/>
                <w:color w:val="0000EE"/>
                <w:w w:val="92"/>
              </w:rPr>
            </w:pPr>
            <w:hyperlink r:id="rId93">
              <w:r>
                <w:rPr>
                  <w:rFonts w:ascii="Times New Roman" w:cs="Times New Roman" w:eastAsia="Times New Roman" w:hAnsi="Times New Roman"/>
                  <w:sz w:val="18"/>
                  <w:szCs w:val="18"/>
                  <w:color w:val="0000EE"/>
                  <w:w w:val="92"/>
                </w:rPr>
                <w:t>23.</w:t>
              </w:r>
              <w:r>
                <w:rPr>
                  <w:rFonts w:ascii="Times New Roman" w:cs="Times New Roman" w:eastAsia="Times New Roman" w:hAnsi="Times New Roman"/>
                  <w:sz w:val="18"/>
                  <w:szCs w:val="18"/>
                  <w:u w:val="single" w:color="auto"/>
                  <w:color w:val="0000EE"/>
                  <w:w w:val="92"/>
                </w:rPr>
                <w:t>6***</w:t>
              </w:r>
            </w:hyperlink>
          </w:p>
        </w:tc>
        <w:tc>
          <w:tcPr>
            <w:tcW w:w="280" w:type="dxa"/>
            <w:vAlign w:val="bottom"/>
          </w:tcPr>
          <w:p>
            <w:pPr>
              <w:spacing w:after="0"/>
              <w:rPr>
                <w:sz w:val="24"/>
                <w:szCs w:val="24"/>
                <w:color w:val="auto"/>
              </w:rPr>
            </w:pPr>
          </w:p>
        </w:tc>
        <w:tc>
          <w:tcPr>
            <w:tcW w:w="6480" w:type="dxa"/>
            <w:vAlign w:val="bottom"/>
            <w:gridSpan w:val="21"/>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Consent of Canadian Engineering Associates Ltd.</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5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2"/>
              </w:rPr>
            </w:pPr>
            <w:hyperlink r:id="rId94">
              <w:r>
                <w:rPr>
                  <w:rFonts w:ascii="Times New Roman" w:cs="Times New Roman" w:eastAsia="Times New Roman" w:hAnsi="Times New Roman"/>
                  <w:sz w:val="18"/>
                  <w:szCs w:val="18"/>
                  <w:color w:val="0000EE"/>
                  <w:w w:val="92"/>
                </w:rPr>
                <w:t>23.</w:t>
              </w:r>
              <w:r>
                <w:rPr>
                  <w:rFonts w:ascii="Times New Roman" w:cs="Times New Roman" w:eastAsia="Times New Roman" w:hAnsi="Times New Roman"/>
                  <w:sz w:val="18"/>
                  <w:szCs w:val="18"/>
                  <w:u w:val="single" w:color="auto"/>
                  <w:color w:val="0000EE"/>
                  <w:w w:val="92"/>
                </w:rPr>
                <w:t>7***</w:t>
              </w:r>
            </w:hyperlink>
          </w:p>
        </w:tc>
        <w:tc>
          <w:tcPr>
            <w:tcW w:w="28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Consent of Deep Reach Technology Inc.</w:t>
              </w:r>
            </w:hyperlink>
          </w:p>
        </w:tc>
        <w:tc>
          <w:tcPr>
            <w:tcW w:w="660" w:type="dxa"/>
            <w:vAlign w:val="bottom"/>
            <w:tcBorders>
              <w:top w:val="single" w:sz="8" w:color="0000EE"/>
            </w:tcBorders>
            <w:gridSpan w:val="3"/>
          </w:tcPr>
          <w:p>
            <w:pPr>
              <w:spacing w:after="0"/>
              <w:rPr>
                <w:sz w:val="24"/>
                <w:szCs w:val="24"/>
                <w:color w:val="auto"/>
              </w:rPr>
            </w:pPr>
          </w:p>
        </w:tc>
        <w:tc>
          <w:tcPr>
            <w:tcW w:w="290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5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2"/>
              </w:rPr>
            </w:pPr>
            <w:hyperlink r:id="rId95">
              <w:r>
                <w:rPr>
                  <w:rFonts w:ascii="Times New Roman" w:cs="Times New Roman" w:eastAsia="Times New Roman" w:hAnsi="Times New Roman"/>
                  <w:sz w:val="18"/>
                  <w:szCs w:val="18"/>
                  <w:color w:val="0000EE"/>
                  <w:w w:val="92"/>
                </w:rPr>
                <w:t>23.</w:t>
              </w:r>
              <w:r>
                <w:rPr>
                  <w:rFonts w:ascii="Times New Roman" w:cs="Times New Roman" w:eastAsia="Times New Roman" w:hAnsi="Times New Roman"/>
                  <w:sz w:val="18"/>
                  <w:szCs w:val="18"/>
                  <w:u w:val="single" w:color="auto"/>
                  <w:color w:val="0000EE"/>
                  <w:w w:val="92"/>
                </w:rPr>
                <w:t>8***</w:t>
              </w:r>
            </w:hyperlink>
          </w:p>
        </w:tc>
        <w:tc>
          <w:tcPr>
            <w:tcW w:w="280" w:type="dxa"/>
            <w:vAlign w:val="bottom"/>
          </w:tcPr>
          <w:p>
            <w:pPr>
              <w:spacing w:after="0"/>
              <w:rPr>
                <w:sz w:val="24"/>
                <w:szCs w:val="24"/>
                <w:color w:val="auto"/>
              </w:rPr>
            </w:pPr>
          </w:p>
        </w:tc>
        <w:tc>
          <w:tcPr>
            <w:tcW w:w="37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Consent of Margin – Marine Geoscience Innovation</w:t>
              </w:r>
            </w:hyperlink>
          </w:p>
        </w:tc>
        <w:tc>
          <w:tcPr>
            <w:tcW w:w="2720" w:type="dxa"/>
            <w:vAlign w:val="bottom"/>
            <w:gridSpan w:val="11"/>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580" w:type="dxa"/>
            <w:vAlign w:val="bottom"/>
            <w:gridSpan w:val="4"/>
          </w:tcPr>
          <w:p>
            <w:pPr>
              <w:spacing w:after="0"/>
              <w:rPr>
                <w:rFonts w:ascii="Times New Roman" w:cs="Times New Roman" w:eastAsia="Times New Roman" w:hAnsi="Times New Roman"/>
                <w:sz w:val="18"/>
                <w:szCs w:val="18"/>
                <w:color w:val="0000EE"/>
                <w:w w:val="92"/>
              </w:rPr>
            </w:pPr>
            <w:hyperlink r:id="rId96">
              <w:r>
                <w:rPr>
                  <w:rFonts w:ascii="Times New Roman" w:cs="Times New Roman" w:eastAsia="Times New Roman" w:hAnsi="Times New Roman"/>
                  <w:sz w:val="18"/>
                  <w:szCs w:val="18"/>
                  <w:color w:val="0000EE"/>
                  <w:w w:val="92"/>
                </w:rPr>
                <w:t>23.</w:t>
              </w:r>
              <w:r>
                <w:rPr>
                  <w:rFonts w:ascii="Times New Roman" w:cs="Times New Roman" w:eastAsia="Times New Roman" w:hAnsi="Times New Roman"/>
                  <w:sz w:val="18"/>
                  <w:szCs w:val="18"/>
                  <w:u w:val="single" w:color="auto"/>
                  <w:color w:val="0000EE"/>
                  <w:w w:val="92"/>
                </w:rPr>
                <w:t>9***</w:t>
              </w:r>
            </w:hyperlink>
          </w:p>
        </w:tc>
        <w:tc>
          <w:tcPr>
            <w:tcW w:w="280" w:type="dxa"/>
            <w:vAlign w:val="bottom"/>
          </w:tcPr>
          <w:p>
            <w:pPr>
              <w:spacing w:after="0"/>
              <w:rPr>
                <w:sz w:val="24"/>
                <w:szCs w:val="24"/>
                <w:color w:val="auto"/>
              </w:rPr>
            </w:pPr>
          </w:p>
        </w:tc>
        <w:tc>
          <w:tcPr>
            <w:tcW w:w="6480" w:type="dxa"/>
            <w:vAlign w:val="bottom"/>
            <w:gridSpan w:val="21"/>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Consent of John Michael Parianos</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580" w:type="dxa"/>
            <w:vAlign w:val="bottom"/>
            <w:gridSpan w:val="4"/>
          </w:tcPr>
          <w:p>
            <w:pPr>
              <w:spacing w:after="0"/>
              <w:rPr>
                <w:rFonts w:ascii="Times New Roman" w:cs="Times New Roman" w:eastAsia="Times New Roman" w:hAnsi="Times New Roman"/>
                <w:sz w:val="18"/>
                <w:szCs w:val="18"/>
                <w:color w:val="0000EE"/>
                <w:w w:val="92"/>
              </w:rPr>
            </w:pPr>
            <w:hyperlink r:id="rId97">
              <w:r>
                <w:rPr>
                  <w:rFonts w:ascii="Times New Roman" w:cs="Times New Roman" w:eastAsia="Times New Roman" w:hAnsi="Times New Roman"/>
                  <w:sz w:val="18"/>
                  <w:szCs w:val="18"/>
                  <w:color w:val="0000EE"/>
                  <w:w w:val="92"/>
                </w:rPr>
                <w:t>24.</w:t>
              </w:r>
              <w:r>
                <w:rPr>
                  <w:rFonts w:ascii="Times New Roman" w:cs="Times New Roman" w:eastAsia="Times New Roman" w:hAnsi="Times New Roman"/>
                  <w:sz w:val="18"/>
                  <w:szCs w:val="18"/>
                  <w:u w:val="single" w:color="auto"/>
                  <w:color w:val="0000EE"/>
                  <w:w w:val="92"/>
                </w:rPr>
                <w:t>1***</w:t>
              </w:r>
            </w:hyperlink>
          </w:p>
        </w:tc>
        <w:tc>
          <w:tcPr>
            <w:tcW w:w="280" w:type="dxa"/>
            <w:vAlign w:val="bottom"/>
          </w:tcPr>
          <w:p>
            <w:pPr>
              <w:spacing w:after="0"/>
              <w:rPr>
                <w:sz w:val="24"/>
                <w:szCs w:val="24"/>
                <w:color w:val="auto"/>
              </w:rPr>
            </w:pPr>
          </w:p>
        </w:tc>
        <w:tc>
          <w:tcPr>
            <w:tcW w:w="6480" w:type="dxa"/>
            <w:vAlign w:val="bottom"/>
            <w:gridSpan w:val="21"/>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Power of attorney (included on the signature page to the initial registration statement)</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3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2</w:t>
            </w: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for Andrew Greig</w:t>
            </w:r>
          </w:p>
        </w:tc>
        <w:tc>
          <w:tcPr>
            <w:tcW w:w="3540" w:type="dxa"/>
            <w:vAlign w:val="bottom"/>
            <w:tcBorders>
              <w:top w:val="single" w:sz="8" w:color="0000EE"/>
            </w:tcBorders>
            <w:gridSpan w:val="15"/>
          </w:tcPr>
          <w:p>
            <w:pPr>
              <w:spacing w:after="0"/>
              <w:rPr>
                <w:sz w:val="24"/>
                <w:szCs w:val="24"/>
                <w:color w:val="auto"/>
              </w:rPr>
            </w:pPr>
          </w:p>
        </w:tc>
        <w:tc>
          <w:tcPr>
            <w:tcW w:w="3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1"/>
              </w:rPr>
              <w:t>X</w:t>
            </w: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4"/>
        </w:trPr>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2"/>
              </w:rPr>
              <w:t>25.1**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Statement of Eligibility on Form T-1 under the Trust Indenture Act of 1939, as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amended, of the Trustee under the Senior Indenture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2"/>
              </w:rPr>
              <w:t>25.2**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Statement of Eligibility on Form T-1 under the Trust Indenture Act of 1939, as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amended, of the Trustee under the Subordinated Indenture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96.1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Technical Report Summary — Initial Assessment of the NORI Property, Clarion-</w:t>
              </w:r>
            </w:hyperlink>
          </w:p>
        </w:tc>
        <w:tc>
          <w:tcPr>
            <w:tcW w:w="62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Form S-4/A</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333-255118</w:t>
            </w: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80" w:type="dxa"/>
            <w:vAlign w:val="bottom"/>
            <w:gridSpan w:val="21"/>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Clipperton Zone, for Deep Green Metals Inc., effective as of March 17, 2021, by AMC</w:t>
              </w:r>
            </w:hyperlink>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ind w:left="270"/>
              <w:spacing w:after="0" w:line="196" w:lineRule="exact"/>
              <w:rPr>
                <w:sz w:val="20"/>
                <w:szCs w:val="20"/>
                <w:color w:val="auto"/>
              </w:rPr>
            </w:pPr>
            <w:r>
              <w:rPr>
                <w:rFonts w:ascii="Times New Roman" w:cs="Times New Roman" w:eastAsia="Times New Roman" w:hAnsi="Times New Roman"/>
                <w:sz w:val="18"/>
                <w:szCs w:val="18"/>
                <w:color w:val="auto"/>
              </w:rPr>
              <w:t>(Exhibit 96.1)</w:t>
            </w: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Consultants Pty Ltd. and other qualified persons</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96.2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Technical Report Summary — Initial Assessment of the TOML Mineral Resource,</w:t>
              </w:r>
            </w:hyperlink>
          </w:p>
        </w:tc>
        <w:tc>
          <w:tcPr>
            <w:tcW w:w="5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Form S-4/A</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333-255118</w:t>
            </w: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80" w:type="dxa"/>
            <w:vAlign w:val="bottom"/>
            <w:gridSpan w:val="21"/>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Clarion-Clipperton Zone, Pacific Ocean, for Deep Green Metals Inc., effective as of</w:t>
              </w:r>
            </w:hyperlink>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ind w:left="270"/>
              <w:spacing w:after="0" w:line="196" w:lineRule="exact"/>
              <w:rPr>
                <w:sz w:val="20"/>
                <w:szCs w:val="20"/>
                <w:color w:val="auto"/>
              </w:rPr>
            </w:pPr>
            <w:r>
              <w:rPr>
                <w:rFonts w:ascii="Times New Roman" w:cs="Times New Roman" w:eastAsia="Times New Roman" w:hAnsi="Times New Roman"/>
                <w:sz w:val="18"/>
                <w:szCs w:val="18"/>
                <w:color w:val="auto"/>
              </w:rPr>
              <w:t>(Exhibit 96.2)</w:t>
            </w: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March 26, 2021, by AMC Consultants Pty Ltd. and other qualified persons</w:t>
              </w:r>
            </w:hyperlink>
          </w:p>
        </w:tc>
        <w:tc>
          <w:tcPr>
            <w:tcW w:w="4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5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107***</w:t>
              </w:r>
            </w:hyperlink>
          </w:p>
        </w:tc>
        <w:tc>
          <w:tcPr>
            <w:tcW w:w="280" w:type="dxa"/>
            <w:vAlign w:val="bottom"/>
          </w:tcPr>
          <w:p>
            <w:pPr>
              <w:spacing w:after="0"/>
              <w:rPr>
                <w:sz w:val="24"/>
                <w:szCs w:val="24"/>
                <w:color w:val="auto"/>
              </w:rPr>
            </w:pPr>
          </w:p>
        </w:tc>
        <w:tc>
          <w:tcPr>
            <w:tcW w:w="11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r:id="rId100">
              <w:r>
                <w:rPr>
                  <w:rFonts w:ascii="Times New Roman" w:cs="Times New Roman" w:eastAsia="Times New Roman" w:hAnsi="Times New Roman"/>
                  <w:sz w:val="18"/>
                  <w:szCs w:val="18"/>
                  <w:color w:val="0000EE"/>
                  <w:w w:val="97"/>
                </w:rPr>
                <w:t>Filing Fee Table</w:t>
              </w:r>
            </w:hyperlink>
          </w:p>
        </w:tc>
        <w:tc>
          <w:tcPr>
            <w:tcW w:w="4200" w:type="dxa"/>
            <w:vAlign w:val="bottom"/>
            <w:tcBorders>
              <w:top w:val="single" w:sz="8" w:color="0000EE"/>
            </w:tcBorders>
            <w:gridSpan w:val="11"/>
          </w:tcPr>
          <w:p>
            <w:pPr>
              <w:spacing w:after="0"/>
              <w:rPr>
                <w:sz w:val="24"/>
                <w:szCs w:val="24"/>
                <w:color w:val="auto"/>
              </w:rPr>
            </w:pPr>
          </w:p>
        </w:tc>
        <w:tc>
          <w:tcPr>
            <w:tcW w:w="110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25" w:lineRule="exact"/>
        <w:rPr>
          <w:sz w:val="20"/>
          <w:szCs w:val="20"/>
          <w:color w:val="auto"/>
        </w:rPr>
      </w:pPr>
    </w:p>
    <w:p>
      <w:pPr>
        <w:ind w:left="8" w:right="1220" w:hanging="8"/>
        <w:spacing w:after="0" w:line="261" w:lineRule="auto"/>
        <w:tabs>
          <w:tab w:leader="none" w:pos="4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subsequently filed, if applicable, by an amendment to this registration statement or as part of a Current Report on Form 8-K. ** To be subsequently filed, if applicable, in accordance with Section 305(b)(2) of the Trust Indenture Act of 1939.</w:t>
      </w: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200" w:lineRule="exact"/>
        <w:rPr>
          <w:sz w:val="20"/>
          <w:szCs w:val="20"/>
          <w:color w:val="auto"/>
        </w:rPr>
      </w:pPr>
    </w:p>
    <w:p>
      <w:pPr>
        <w:spacing w:after="0" w:line="223" w:lineRule="exact"/>
        <w:rPr>
          <w:sz w:val="20"/>
          <w:szCs w:val="20"/>
          <w:color w:val="auto"/>
        </w:rPr>
      </w:pPr>
    </w:p>
    <w:p>
      <w:pPr>
        <w:jc w:val="center"/>
        <w:ind w:right="-147"/>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8"/>
          </w:cols>
          <w:pgMar w:left="332" w:top="918"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225" w:lineRule="exact"/>
        <w:rPr>
          <w:sz w:val="20"/>
          <w:szCs w:val="20"/>
          <w:color w:val="auto"/>
        </w:rPr>
      </w:pPr>
    </w:p>
    <w:p>
      <w:pPr>
        <w:jc w:val="both"/>
        <w:ind w:firstLine="8"/>
        <w:spacing w:after="0" w:line="256" w:lineRule="auto"/>
        <w:tabs>
          <w:tab w:leader="none" w:pos="2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3" w:lineRule="exact"/>
        <w:rPr>
          <w:sz w:val="20"/>
          <w:szCs w:val="20"/>
          <w:color w:val="auto"/>
        </w:rPr>
      </w:pPr>
    </w:p>
    <w:p>
      <w:pPr>
        <w:jc w:val="both"/>
        <w:ind w:firstLine="8"/>
        <w:spacing w:after="0" w:line="266" w:lineRule="auto"/>
        <w:tabs>
          <w:tab w:leader="none" w:pos="2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sz w:val="20"/>
          <w:szCs w:val="20"/>
          <w:color w:val="auto"/>
        </w:rPr>
      </w:pPr>
    </w:p>
    <w:p>
      <w:pPr>
        <w:ind w:right="20" w:firstLine="8"/>
        <w:spacing w:after="0" w:line="282" w:lineRule="auto"/>
        <w:tabs>
          <w:tab w:leader="none" w:pos="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firstLine="8"/>
        <w:spacing w:after="0" w:line="253"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both"/>
        <w:ind w:firstLine="8"/>
        <w:spacing w:after="0" w:line="261" w:lineRule="auto"/>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220" w:hanging="212"/>
        <w:spacing w:after="0"/>
        <w:tabs>
          <w:tab w:leader="none" w:pos="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That, for purposes of determining any liability under the Securities Act:</w:t>
      </w:r>
    </w:p>
    <w:p>
      <w:pPr>
        <w:spacing w:after="0" w:line="225" w:lineRule="exact"/>
        <w:rPr>
          <w:sz w:val="20"/>
          <w:szCs w:val="20"/>
          <w:color w:val="auto"/>
        </w:rPr>
      </w:pPr>
    </w:p>
    <w:p>
      <w:pPr>
        <w:jc w:val="both"/>
        <w:ind w:firstLine="8"/>
        <w:spacing w:after="0" w:line="266" w:lineRule="auto"/>
        <w:tabs>
          <w:tab w:leader="none" w:pos="2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62" w:lineRule="exact"/>
        <w:rPr>
          <w:sz w:val="20"/>
          <w:szCs w:val="20"/>
          <w:color w:val="auto"/>
        </w:rPr>
      </w:pPr>
    </w:p>
    <w:p>
      <w:pPr>
        <w:jc w:val="both"/>
        <w:ind w:firstLine="8"/>
        <w:spacing w:after="0" w:line="258" w:lineRule="auto"/>
        <w:tabs>
          <w:tab w:leader="none" w:pos="2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October 5, 2022.</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Craig Shesky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Gerard Barron</w:t>
            </w:r>
          </w:p>
        </w:tc>
        <w:tc>
          <w:tcPr>
            <w:tcW w:w="120" w:type="dxa"/>
            <w:vAlign w:val="bottom"/>
          </w:tcPr>
          <w:p>
            <w:pPr>
              <w:spacing w:after="0"/>
              <w:rPr>
                <w:sz w:val="24"/>
                <w:szCs w:val="24"/>
                <w:color w:val="auto"/>
              </w:rPr>
            </w:pPr>
          </w:p>
        </w:tc>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5, 2022</w:t>
            </w: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20" w:type="dxa"/>
            <w:vAlign w:val="bottom"/>
          </w:tcPr>
          <w:p>
            <w:pPr>
              <w:spacing w:after="0"/>
              <w:rPr>
                <w:sz w:val="19"/>
                <w:szCs w:val="19"/>
                <w:color w:val="auto"/>
              </w:rPr>
            </w:pPr>
          </w:p>
        </w:tc>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3600" w:type="dxa"/>
            <w:vAlign w:val="bottom"/>
          </w:tcPr>
          <w:p>
            <w:pPr>
              <w:spacing w:after="0"/>
              <w:rPr>
                <w:sz w:val="19"/>
                <w:szCs w:val="19"/>
                <w:color w:val="auto"/>
              </w:rPr>
            </w:pPr>
          </w:p>
        </w:tc>
      </w:tr>
      <w:tr>
        <w:trPr>
          <w:trHeight w:val="414"/>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Craig Shesky</w:t>
            </w:r>
          </w:p>
        </w:tc>
        <w:tc>
          <w:tcPr>
            <w:tcW w:w="12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5, 2022</w:t>
            </w: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120" w:type="dxa"/>
            <w:vAlign w:val="bottom"/>
          </w:tcPr>
          <w:p>
            <w:pPr>
              <w:spacing w:after="0"/>
              <w:rPr>
                <w:sz w:val="19"/>
                <w:szCs w:val="19"/>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36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5, 2022</w:t>
            </w: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C. Greig</w:t>
            </w: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5, 2022</w:t>
            </w: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5, 2022</w:t>
            </w: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5, 2022</w:t>
            </w: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5, 2022</w:t>
            </w: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5, 2022</w:t>
            </w: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5, 2022</w:t>
            </w: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41"/>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By:  /s/ Gerard Barron</w:t>
            </w: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c>
          <w:tcPr>
            <w:tcW w:w="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II-7</w:t>
            </w: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156845</wp:posOffset>
            </wp:positionV>
            <wp:extent cx="6163310" cy="986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616331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5" w:lineRule="auto"/>
        <w:rPr>
          <w:sz w:val="20"/>
          <w:szCs w:val="20"/>
          <w:color w:val="auto"/>
        </w:rPr>
      </w:pPr>
      <w:r>
        <w:rPr>
          <w:rFonts w:ascii="Times New Roman" w:cs="Times New Roman" w:eastAsia="Times New Roman" w:hAnsi="Times New Roman"/>
          <w:sz w:val="18"/>
          <w:szCs w:val="18"/>
          <w:color w:val="auto"/>
        </w:rPr>
        <w:t>595 Howe Street,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 V6C 2T5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TMC the metals company Inc. –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acted as British Columbia counsel to TMC the metals company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connection with the preparation and filing of a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relating to the potential issuance and sale by the Corporation of up to an aggregate of US$100 million of securities of the Corporation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pursuant to one or more prospectus supplements (each, a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to the Registration Statement to be filed by the Corporation from time to time. We have examined and relied upon (a) the Registration Statement, (b) the Corporation’s Certificate of Continuation, Notice of Articles and Articles, as currently in effect, and (c) originals or copies certified to our satisfaction of such records, documents, certificates, memoranda and other instruments as in our judgment are necessary or appropriate to enable us to render the opinion expressed below. We have assumed the authenticity of all documents submitted to us as originals, the genuineness of all signatures and the conformity to authentic originals of all documents submitted to us as copies and that all facts set forth in official public records and certificates and other documents supplied by public officials or otherwise conveyed to us by public officials are complete, true and accurate as of, and at all material times prior to, the date of this opinion letter. We have also assumed the legal capacity for all purposes relevant hereto of all natural persons. In making our examination of executed documents or documents to be executed, we have assumed that the parties thereto, including the Corporation,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on all such parties. In our capacity as counsel to the Corporation in connection with the registration of the Registration Statement, we are familiar with the proceedings taken and proposed to be taken by the Corporation in connection with the authorization and issuance of the Securities. For purposes of this opinion, we have assumed that such proceedings will be timely and properly completed, in accordance with all requirements of the Applicable Law (as defined below), in the manner presently proposed. As to questions of fact material to our opinions, we have relied upon certificates of officers of the Corporation and of public officials.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the Corporation which may be offered under the Registration Statement include the following:</w:t>
      </w:r>
    </w:p>
    <w:p>
      <w:pPr>
        <w:spacing w:after="0" w:line="221" w:lineRule="exact"/>
        <w:rPr>
          <w:sz w:val="20"/>
          <w:szCs w:val="20"/>
          <w:color w:val="auto"/>
        </w:rPr>
      </w:pPr>
    </w:p>
    <w:p>
      <w:pPr>
        <w:ind w:left="1300" w:hanging="320"/>
        <w:spacing w:after="0" w:line="286"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without par value and with special rights or restrictions attached (the “</w:t>
      </w:r>
      <w:r>
        <w:rPr>
          <w:rFonts w:ascii="Times New Roman" w:cs="Times New Roman" w:eastAsia="Times New Roman" w:hAnsi="Times New Roman"/>
          <w:sz w:val="18"/>
          <w:szCs w:val="18"/>
          <w:b w:val="1"/>
          <w:bCs w:val="1"/>
          <w:color w:val="auto"/>
        </w:rPr>
        <w:t>Offered Common Shares</w:t>
      </w:r>
      <w:r>
        <w:rPr>
          <w:rFonts w:ascii="Times New Roman" w:cs="Times New Roman" w:eastAsia="Times New Roman" w:hAnsi="Times New Roman"/>
          <w:sz w:val="18"/>
          <w:szCs w:val="18"/>
          <w:color w:val="auto"/>
        </w:rPr>
        <w:t>”) and preferred shares without par value and with special rights or restrictions attached (the “</w:t>
      </w:r>
      <w:r>
        <w:rPr>
          <w:rFonts w:ascii="Times New Roman" w:cs="Times New Roman" w:eastAsia="Times New Roman" w:hAnsi="Times New Roman"/>
          <w:sz w:val="18"/>
          <w:szCs w:val="18"/>
          <w:b w:val="1"/>
          <w:bCs w:val="1"/>
          <w:color w:val="auto"/>
        </w:rPr>
        <w:t>Offered Preferred Shares</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21" w:lineRule="exact"/>
        <w:rPr>
          <w:sz w:val="20"/>
          <w:szCs w:val="20"/>
          <w:color w:val="auto"/>
        </w:rPr>
      </w:pPr>
    </w:p>
    <w:p>
      <w:pPr>
        <w:ind w:left="1300" w:hanging="320"/>
        <w:spacing w:after="0" w:line="286"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38,266,180 common shares of the Corporation (the “</w:t>
      </w:r>
      <w:r>
        <w:rPr>
          <w:rFonts w:ascii="Times New Roman" w:cs="Times New Roman" w:eastAsia="Times New Roman" w:hAnsi="Times New Roman"/>
          <w:sz w:val="18"/>
          <w:szCs w:val="18"/>
          <w:b w:val="1"/>
          <w:bCs w:val="1"/>
          <w:color w:val="auto"/>
        </w:rPr>
        <w:t>Issued Shares</w:t>
      </w:r>
      <w:r>
        <w:rPr>
          <w:rFonts w:ascii="Times New Roman" w:cs="Times New Roman" w:eastAsia="Times New Roman" w:hAnsi="Times New Roman"/>
          <w:sz w:val="18"/>
          <w:szCs w:val="18"/>
          <w:color w:val="auto"/>
        </w:rPr>
        <w:t>”) being transferred for resale by the selling stockholders named in the Registration Statement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opinion herein is limited to the laws of the Province of British Columbia and the federal laws of Canada applicable therein now in effect (the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We express no opinion as to whether the laws of any particular jurisdiction other than those identified above are applicable to the subject matter hereof. We assume no obligation to revise or supplement this opinion should any applicable laws be changed subsequent to the date hereof by legislative action, judicial decision or otherwise or if there is a change in any fact or facts after the date hereof. Where our opinion refers to any of the Securities as being “fully paid and non-assessable”, no opinion is expressed as to actual receipt by the Corporation of the consideration for the issuance of such shares or as to the adequacy of any consideration received.</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rendering our opinions set forth herein, we have also assumed that, at the time of any offer and sale of Securities, (i) the Corporation has been duly organized and is validly existing and in good standing, and has the requisite legal status and legal capacity, under the laws of the Province of British Columbia; (ii) the Corporation has complied and will comply with the laws of all relevant jurisdictions in connection with the transactions contemplated by, and the performance of its obligations under, the Registration Statement; (iii) the Registration Statement and any amendments thereto (including any post-effective amendments thereto) has become effective under the Act; (iv) that an appropriate Prospectus Supplement or term sheet with respect to the Securities offered thereby has been prepared, delivered and filed in compliance with the Act and the applicable rules and regulations thereunder; (v) that a definitive purchase, underwriting or similar agreement (a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 respect to any offered Securities will have been duly authorized and validly executed and delivered by the Corporation and the other parties thereto and will be filed with the United States Securities and Exchange Commission on a Current Report on Form 8-K or other applicable periodic report in the manner contemplated in the Registration Statement or applicable Prospectus Supplement; (vi) that the Securities will be issued and sold in compliance with applicable U.S. federal and state securities laws and in the manner stated in the Registration Statement and the applicable Prospectus Supplement; (vii) that any Securities issuable upon conversion, exchange, redemption or exercise of any Securities being offered will be duly authorized, created and, if appropriate, reserved for issuance upon such conversion, exchange, redemption or exercise; (viii) with respect to our opinion as to the Offered Common Shares, we have assumed that, at the time of issuance and sale, a sufficient number of shares of common shares in the capital of the Corporation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are authorized and available for issuance under the maximum number of Common Shares the Corporation is authorized to issue and that the consideration for the issuance and sale of the Offered Common Shares is in an amount that is not less than the par value of the Common Shares, if any; and (ix) with respect to our opinion as to the Offered Preferred Shares, we have assumed that, at the time of issuance and sale, a sufficient number of shares of preferred shares in the capital of the Corporation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are authorized and available for issuance under the maximum number of Preferred Shares the Corporation is authorized to issue and that the consideration for the issuance and sale of the Offered Preferred Shares is in an amount that is not less than the par value of the Preferred Shares, if any. As to any facts material to our opinion, we have made no independent investigation of such facts and have relied, to the extent that we deem such reliance proper, upon certificates of public officials and officers or other representatives of the Corporation. We assume, based on advise previously received from the Corporation, that the applicable agreements relating to any of the Securities will be governed by the laws of a jurisdiction outside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and subject to the foregoing assumptions and qualifications we are of the opinion that: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With respect to the issuance of any Offered Common Shares which may be offered pursuant to the Registration Statement, when</w:t>
      </w:r>
    </w:p>
    <w:p>
      <w:pPr>
        <w:spacing w:after="0" w:line="27" w:lineRule="exact"/>
        <w:rPr>
          <w:sz w:val="20"/>
          <w:szCs w:val="20"/>
          <w:color w:val="auto"/>
        </w:rPr>
      </w:pPr>
    </w:p>
    <w:p>
      <w:pPr>
        <w:jc w:val="both"/>
        <w:ind w:firstLine="8"/>
        <w:spacing w:after="0" w:line="251" w:lineRule="auto"/>
        <w:tabs>
          <w:tab w:leader="none" w:pos="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the Offered Common Shares as fully-paid and non-assessable Common Shares, and the sale of Offered Common Shares, and, if certificated, the certificates representing the Offered Common Shares have been duly authorized and approved by all necessary corporate action in conformity with the constating documents (as then in effect), and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w:t>
      </w:r>
      <w:r>
        <w:rPr>
          <w:rFonts w:ascii="Times New Roman" w:cs="Times New Roman" w:eastAsia="Times New Roman" w:hAnsi="Times New Roman"/>
          <w:sz w:val="18"/>
          <w:szCs w:val="18"/>
          <w:b w:val="1"/>
          <w:bCs w:val="1"/>
          <w:color w:val="auto"/>
        </w:rPr>
        <w:t>BCBCA</w:t>
      </w:r>
      <w:r>
        <w:rPr>
          <w:rFonts w:ascii="Times New Roman" w:cs="Times New Roman" w:eastAsia="Times New Roman" w:hAnsi="Times New Roman"/>
          <w:sz w:val="18"/>
          <w:szCs w:val="18"/>
          <w:color w:val="auto"/>
        </w:rPr>
        <w:t>”) (as then in effect), and does not violate any Applicable Law or result in a default under or breach of any agreement or instrument binding upon the Corporation and comply with any requirement or restriction imposed by any court or governmental body of Canada or British Columbia having jurisdiction over the Corporation; (b) the full consideration, determined to be adequate by the Corporation’s board of directors, which is at least equal to the issue price of the such Offered Common Shares, has been received by the Corporation; (c) the terms of the issuance and sale of the Offered Common Shares have been duly established and are then in conformity with the Corporation’s the constating documents (as then in effect) and the BCBCA (as then in effect), so as not to violate any Applicable Law or such constating documents, or result in a default under or breach of any agreement or instrument binding upon the Corporation, and so as to comply with any requirement or restriction imposed by any court or governmental body having jurisdiction over the Corporation; and (d) if certificated, the certificates representing the Offered Common Shares have been duly executed and delivered by the proper officers of the Corporation to the purchasers thereof against payment of the agreed-upon consideration therefor in the manner contemplated in the Registration Statement or any Prospectus Supplement relating thereto, or, if not certificated, valid book-entry notations therefor having been made in the share register of the Corporation, in accordance with the terms of the applicable Purchase Agreement or, if issuable upon exchange or conversion of any other Security, in accordance with the terms of such Security or the instrument governing such Security providing for such conversion or exercise as approved by the board of director of the Corporation (provided that such consideration is not less than the par value of the Common Shares), the Offered Common Shares will be validly issued, fully paid, and non-assessable.</w:t>
      </w:r>
    </w:p>
    <w:p>
      <w:pPr>
        <w:spacing w:after="0" w:line="18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With respect to the issuance of any Offered Preferred Shares which may be offered pursuant to the Registration Statement, when</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alteration of the authorized share structure of the Corporation to create the Preferred Shares, including attaching any special rights and restrictions, and the issuance of the Offered Preferred Shares as fully-paid and non-assessable Preferred Shares, and the sale of Offered Preferred Shares, and, if certificated, the certificates representing the Offered Preferred Shares have been duly authorized and approved by all necessary corporate action in conformity with the constating documents (as then in effect), and the BCBCA (as then in effect), and does not violate any Applicable Law or result in a default under or breach of any agreement or instrument binding upon the Corporation and comply with any requirement or restriction imposed by any court or governmental body of Canada or British Columbia having jurisdiction over the Corporation; (b) the full consideration, determined to be adequate by the Corporation’s board of directors, which is at least equal to the issue price of the such Offered Preferred Shares, has been received by the Corporation;</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issuance and sale of the Offered Preferred Shares have been duly established and are then in conformity with the Corporation’s the constating documents (as then in effect) and the BCBCA (as then in effect), so as not to violate any Applicable Law or such constating documents, or result in a default under or breach of any agreement or instrument binding upon the Corporation, and so as to comply with any requirement or restriction imposed by any court or governmental body having jurisdiction over the Corporation; (d) an appropriate notice of alteration relating to a class or series of the Preferred Shares to be sold under the Registration Statement has been duly authorized and adopted and filed with the registrar under the BCBCA and the registrar has furnished to the Corporation a copy of the notice of articles as altered prior to the issuance of the Offered Preferred Shares and the Preferred Shares, including the attachment of an special rights and restrictions, have been duly and validly been authorized, created and approved pursuant to the constating documents (as then in effect), and the BCBCA (as then in effect), and the creation of such Preferred Shares does not violate any Applicable Law or result in a default under or breach of any agreement or instrument binding upon the Corporation and complies with any requirement or restriction imposed by any court or governmental body of Canada or British Columbia having jurisdiction over the Corporation; and (e) if certificated, the certificates representing the Offered Preferred Shares have been duly executed and delivered by the proper officers of the Corporation to the purchasers thereof against payment of the agreed-upon consideration therefor in the manner contemplated in the Registration Statement or any Prospectus Supplement relating thereto, or, if not certificated, valid book-entry notations therefor having been made in the share register of the Corporation, in accordance with the terms of the applicable Purchase Agreement or, if issuable upon exchange or conversion of any other Security, in accordance with the terms of such Security or the instrument governing such Security providing for such conversion or exercise as approved by the board of director of the Corporation (provided that such consideration is not less than the par value of the Preferred Shares), the Offered Preferred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The Issued Shares have been validly issued as fully paid, and non-assessable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of our name in, and the filing of this opinion as an exhibit to, the Registration Statement. In giving this consent, we do not thereby admit that we are in the category of persons whose consent is required under the Securities Act or the rules and regulations promulgated thereunder. This opinion is expressed as of the date hereof unless otherwise expressly stated, and we disclaim any undertaking to advise you of any subsequent changes of the facts stated or assumed herein or any subsequent changes in Applicable Law.</w:t>
      </w:r>
    </w:p>
    <w:p>
      <w:pPr>
        <w:spacing w:after="0" w:line="159" w:lineRule="exact"/>
        <w:rPr>
          <w:sz w:val="20"/>
          <w:szCs w:val="20"/>
          <w:color w:val="auto"/>
        </w:rPr>
      </w:pPr>
    </w:p>
    <w:p>
      <w:pPr>
        <w:spacing w:after="0"/>
        <w:rPr>
          <w:sz w:val="20"/>
          <w:szCs w:val="20"/>
          <w:color w:val="auto"/>
        </w:rPr>
      </w:pPr>
      <w:r>
        <w:rPr>
          <w:sz w:val="1"/>
          <w:szCs w:val="1"/>
          <w:color w:val="auto"/>
        </w:rPr>
        <w:drawing>
          <wp:inline distT="0" distB="0" distL="0" distR="0">
            <wp:extent cx="3566160" cy="27432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3566160" cy="274320"/>
                    </a:xfrm>
                    <a:prstGeom prst="rect">
                      <a:avLst/>
                    </a:prstGeom>
                    <a:noFill/>
                    <a:ln>
                      <a:noFill/>
                    </a:ln>
                  </pic:spPr>
                </pic:pic>
              </a:graphicData>
            </a:graphic>
          </wp:inline>
        </w:drawing>
      </w:r>
      <w:r>
        <w:rPr>
          <w:rFonts w:ascii="Times New Roman" w:cs="Times New Roman" w:eastAsia="Times New Roman" w:hAnsi="Times New Roman"/>
          <w:sz w:val="18"/>
          <w:szCs w:val="18"/>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/s/ 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24.2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each of Gerard Barron and Craig Shesky acting alone or together with another attorney-in-fact, as her true and lawful attorney-in-fact and agent, with full power of substitution and resubstitution, for such person and in her name, place and stead, in any and all capacities, to sign any or all further amendments (including post-effective amendments) to the registration statement on Form S-3 (Registration No. 333-267479)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8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power of attorney has been signed by the undersigned in the capacity and on the date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Date</w:t>
            </w:r>
          </w:p>
        </w:tc>
        <w:tc>
          <w:tcPr>
            <w:tcW w:w="920" w:type="dxa"/>
            <w:vAlign w:val="bottom"/>
            <w:tcBorders>
              <w:bottom w:val="single" w:sz="8" w:color="auto"/>
            </w:tcBorders>
          </w:tcPr>
          <w:p>
            <w:pPr>
              <w:spacing w:after="0"/>
              <w:rPr>
                <w:sz w:val="20"/>
                <w:szCs w:val="20"/>
                <w:color w:val="auto"/>
              </w:rPr>
            </w:pPr>
          </w:p>
        </w:tc>
      </w:tr>
      <w:tr>
        <w:trPr>
          <w:trHeight w:val="433"/>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Andrew Greig</w:t>
            </w:r>
          </w:p>
        </w:tc>
        <w:tc>
          <w:tcPr>
            <w:tcW w:w="240" w:type="dxa"/>
            <w:vAlign w:val="bottom"/>
          </w:tcPr>
          <w:p>
            <w:pPr>
              <w:spacing w:after="0"/>
              <w:rPr>
                <w:sz w:val="24"/>
                <w:szCs w:val="24"/>
                <w:color w:val="auto"/>
              </w:rPr>
            </w:pP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5,</w:t>
            </w: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42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Andrew Greig</w:t>
            </w: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57"/>
        </w:trPr>
        <w:tc>
          <w:tcPr>
            <w:tcW w:w="4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lowerRoman"/>
      <w:start w:val="3"/>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6"/>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lowerLetter"/>
      <w:start w:val="3"/>
    </w:lvl>
  </w:abstractNum>
  <w:abstractNum w:abstractNumId="10">
    <w:nsid w:val="6CEAF087"/>
    <w:multiLevelType w:val="hybridMultilevel"/>
    <w:lvl w:ilvl="0">
      <w:lvlJc w:val="left"/>
      <w:lvlText w:val="(%1)"/>
      <w:numFmt w:val="lowerLetter"/>
      <w:start w:val="7"/>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Roman"/>
      <w:start w:val="2"/>
    </w:lvl>
  </w:abstractNum>
  <w:abstractNum w:abstractNumId="25">
    <w:nsid w:val="51EAD36B"/>
    <w:multiLevelType w:val="hybridMultilevel"/>
    <w:lvl w:ilvl="0">
      <w:lvlJc w:val="left"/>
      <w:lvlText w:val="(%1)"/>
      <w:numFmt w:val="lowerRoman"/>
      <w:start w:val="2"/>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lowerRoman"/>
      <w:start w:val="4"/>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lowerRoman"/>
      <w:start w:val="2"/>
    </w:lvl>
  </w:abstractNum>
  <w:abstractNum w:abstractNumId="42">
    <w:nsid w:val="7644A45C"/>
    <w:multiLevelType w:val="hybridMultilevel"/>
    <w:lvl w:ilvl="0">
      <w:lvlJc w:val="left"/>
      <w:lvlText w:val="(%1)"/>
      <w:numFmt w:val="decimal"/>
      <w:start w:val="2"/>
    </w:lvl>
  </w:abstractNum>
  <w:abstractNum w:abstractNumId="43">
    <w:nsid w:val="32FFF902"/>
    <w:multiLevelType w:val="hybridMultilevel"/>
    <w:lvl w:ilvl="0">
      <w:lvlJc w:val="left"/>
      <w:lvlText w:val="(%1)"/>
      <w:numFmt w:val="lowerRoman"/>
      <w:start w:val="1"/>
    </w:lvl>
  </w:abstractNum>
  <w:abstractNum w:abstractNumId="44">
    <w:nsid w:val="684A481A"/>
    <w:multiLevelType w:val="hybridMultilevel"/>
    <w:lvl w:ilvl="0">
      <w:lvlJc w:val="left"/>
      <w:lvlText w:val="(%1)"/>
      <w:numFmt w:val="decimal"/>
      <w:start w:val="5"/>
    </w:lvl>
  </w:abstractNum>
  <w:abstractNum w:abstractNumId="45">
    <w:nsid w:val="579478FE"/>
    <w:multiLevelType w:val="hybridMultilevel"/>
    <w:lvl w:ilvl="0">
      <w:lvlJc w:val="left"/>
      <w:lvlText w:val="(%1)"/>
      <w:numFmt w:val="lowerRoman"/>
      <w:start w:val="1"/>
    </w:lvl>
  </w:abstractNum>
  <w:abstractNum w:abstractNumId="46">
    <w:nsid w:val="749ABB43"/>
    <w:multiLevelType w:val="hybridMultilevel"/>
    <w:lvl w:ilvl="0">
      <w:lvlJc w:val="left"/>
      <w:lvlText w:val="(%1)"/>
      <w:numFmt w:val="lowerRoman"/>
      <w:start w:val="1"/>
    </w:lvl>
  </w:abstractNum>
  <w:abstractNum w:abstractNumId="47">
    <w:nsid w:val="3DC240FB"/>
    <w:multiLevelType w:val="hybridMultilevel"/>
    <w:lvl w:ilvl="0">
      <w:lvlJc w:val="left"/>
      <w:lvlText w:val="(%1)"/>
      <w:numFmt w:val="lowerLetter"/>
      <w:start w:val="3"/>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lowerLetter"/>
      <w:start w:val="1"/>
    </w:lvl>
    <w:lvl w:ilvl="1">
      <w:lvlJc w:val="left"/>
      <w:lvlText w:val="%2."/>
      <w:numFmt w:val="decimal"/>
      <w:start w:val="2"/>
    </w:lvl>
  </w:abstractNum>
  <w:abstractNum w:abstractNumId="51">
    <w:nsid w:val="12E685FB"/>
    <w:multiLevelType w:val="hybridMultilevel"/>
    <w:lvl w:ilvl="0">
      <w:lvlJc w:val="left"/>
      <w:lvlText w:val="(%1)"/>
      <w:numFmt w:val="lowerLetter"/>
      <w:start w:val="1"/>
    </w:lvl>
    <w:lvl w:ilvl="1">
      <w:lvlJc w:val="left"/>
      <w:lvlText w:val="%2"/>
      <w:numFmt w:val="decimal"/>
      <w:start w:val="1"/>
    </w:lvl>
  </w:abstractNum>
  <w:abstractNum w:abstractNumId="52">
    <w:nsid w:val="70C6A529"/>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2"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jpeg"/><Relationship Id="rId76" Type="http://schemas.openxmlformats.org/officeDocument/2006/relationships/image" Target="media/image60.png"/><Relationship Id="rId77" Type="http://schemas.openxmlformats.org/officeDocument/2006/relationships/image" Target="media/image61.png"/><Relationship Id="rId88"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jpe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64" Type="http://schemas.openxmlformats.org/officeDocument/2006/relationships/hyperlink" Target="https://www.sec.gov/Archives/edgar/data/1798562/000110465922038029/tmc-20211231x10k.htm" TargetMode="External"/><Relationship Id="rId65" Type="http://schemas.openxmlformats.org/officeDocument/2006/relationships/hyperlink" Target="https://www.sec.gov/Archives/edgar/data/1798562/000110465922057493/tmc-20220331x10q.htm" TargetMode="External"/><Relationship Id="rId66" Type="http://schemas.openxmlformats.org/officeDocument/2006/relationships/hyperlink" Target="https://www.sec.gov/Archives/edgar/data/1798562/000110465922091250/tmc-20220630x10q.htm" TargetMode="External"/><Relationship Id="rId67" Type="http://schemas.openxmlformats.org/officeDocument/2006/relationships/hyperlink" Target="https://www.sec.gov/Archives/edgar/data/1798562/000110465922018674/tm226092d1_8k.htm" TargetMode="External"/><Relationship Id="rId68" Type="http://schemas.openxmlformats.org/officeDocument/2006/relationships/hyperlink" Target="https://www.sec.gov/Archives/edgar/data/1798562/000110465922034803/tm229560d1_8k.htm" TargetMode="External"/><Relationship Id="rId69" Type="http://schemas.openxmlformats.org/officeDocument/2006/relationships/hyperlink" Target="https://www.sec.gov/Archives/edgar/data/1798562/000110465922067358/tm2217495d1_8k.htm" TargetMode="External"/><Relationship Id="rId70" Type="http://schemas.openxmlformats.org/officeDocument/2006/relationships/hyperlink" Target="https://www.sec.gov/ix?doc=/Archives/edgar/data/1798562/000110465922090666/tm2223376d3_8k.htm" TargetMode="External"/><Relationship Id="rId71" Type="http://schemas.openxmlformats.org/officeDocument/2006/relationships/hyperlink" Target="https://www.sec.gov/ix?doc=/Archives/edgar/data/1798562/000110465922104937/tm2227087d2_8k.htm" TargetMode="External"/><Relationship Id="rId73" Type="http://schemas.openxmlformats.org/officeDocument/2006/relationships/hyperlink" Target="https://www.sec.gov/Archives/edgar/data/1798562/000121390021047279/ea146988-8a12b_tmcthemetals.htm" TargetMode="External"/><Relationship Id="rId78" Type="http://schemas.openxmlformats.org/officeDocument/2006/relationships/hyperlink" Target="https://www.sec.gov/Archives/edgar/data/1798562/000110465922090666/tm2223376d3_ex10-1.htm" TargetMode="External"/><Relationship Id="rId79" Type="http://schemas.openxmlformats.org/officeDocument/2006/relationships/hyperlink" Target="https://www.sec.gov/Archives/edgar/data/1798562/000110465922090666/tm2223376d3_ex10-2.htm" TargetMode="External"/><Relationship Id="rId80" Type="http://schemas.openxmlformats.org/officeDocument/2006/relationships/hyperlink" Target="https://www.sec.gov/Archives/edgar/data/1798562/000110465922090666/tm2223376d3_ex10-3.htm" TargetMode="External"/><Relationship Id="rId81" Type="http://schemas.openxmlformats.org/officeDocument/2006/relationships/hyperlink" Target="https://www.sec.gov/Archives/edgar/data/1798562/000121390021048261/ea147253ex3-1_tmcthemet.htm" TargetMode="External"/><Relationship Id="rId82" Type="http://schemas.openxmlformats.org/officeDocument/2006/relationships/hyperlink" Target="https://www.sec.gov/Archives/edgar/data/1798562/000121390021048261/ea147253ex3-2_tmcthemet.htm" TargetMode="External"/><Relationship Id="rId83" Type="http://schemas.openxmlformats.org/officeDocument/2006/relationships/hyperlink" Target="https://www.sec.gov/Archives/edgar/data/1798562/000121390021048261/ea147253ex4-1_tmcthemet.htm" TargetMode="External"/><Relationship Id="rId84" Type="http://schemas.openxmlformats.org/officeDocument/2006/relationships/hyperlink" Target="https://www.sec.gov/Archives/edgar/data/1798562/000121390020011491/ea121545ex4-1_sustainable.htm" TargetMode="External"/><Relationship Id="rId85" Type="http://schemas.openxmlformats.org/officeDocument/2006/relationships/hyperlink" Target="https://www.sec.gov/Archives/edgar/data/1798562/000121390021020731/fs42021ex4-5_sustainable.htm" TargetMode="External"/><Relationship Id="rId86" Type="http://schemas.openxmlformats.org/officeDocument/2006/relationships/hyperlink" Target="https://www.sec.gov/Archives/edgar/data/1798562/000110465922100884/tm2225852d1_ex4-7.htm" TargetMode="External"/><Relationship Id="rId87" Type="http://schemas.openxmlformats.org/officeDocument/2006/relationships/hyperlink" Target="https://www.sec.gov/Archives/edgar/data/1798562/000110465922100884/tm2225852d1_ex4-8.htm" TargetMode="External"/><Relationship Id="rId89" Type="http://schemas.openxmlformats.org/officeDocument/2006/relationships/hyperlink" Target="https://www.sec.gov/Archives/edgar/data/1798562/000110465922100884/tm2225852d1_ex5-2.htm" TargetMode="External"/><Relationship Id="rId90" Type="http://schemas.openxmlformats.org/officeDocument/2006/relationships/hyperlink" Target="https://www.sec.gov/Archives/edgar/data/1798562/000110465922100884/tm2225852d1_ex23-1.htm" TargetMode="External"/><Relationship Id="rId91" Type="http://schemas.openxmlformats.org/officeDocument/2006/relationships/hyperlink" Target="https://www.sec.gov/Archives/edgar/data/1798562/000110465922100884/tm2225852d1_ex23-4.htm" TargetMode="External"/><Relationship Id="rId92" Type="http://schemas.openxmlformats.org/officeDocument/2006/relationships/hyperlink" Target="https://www.sec.gov/Archives/edgar/data/1798562/000110465922100884/tm2225852d1_ex23-5.htm" TargetMode="External"/><Relationship Id="rId93" Type="http://schemas.openxmlformats.org/officeDocument/2006/relationships/hyperlink" Target="https://www.sec.gov/Archives/edgar/data/1798562/000110465922100884/tm2225852d1_ex23-6.htm" TargetMode="External"/><Relationship Id="rId94" Type="http://schemas.openxmlformats.org/officeDocument/2006/relationships/hyperlink" Target="https://www.sec.gov/Archives/edgar/data/1798562/000110465922100884/tm2225852d1_ex23-7.htm" TargetMode="External"/><Relationship Id="rId95" Type="http://schemas.openxmlformats.org/officeDocument/2006/relationships/hyperlink" Target="https://www.sec.gov/Archives/edgar/data/1798562/000110465922100884/tm2225852d1_ex23-8.htm" TargetMode="External"/><Relationship Id="rId96" Type="http://schemas.openxmlformats.org/officeDocument/2006/relationships/hyperlink" Target="https://www.sec.gov/Archives/edgar/data/1798562/000110465922100884/tm2225852d1_ex23-9.htm" TargetMode="External"/><Relationship Id="rId97" Type="http://schemas.openxmlformats.org/officeDocument/2006/relationships/hyperlink" Target="https://www.sec.gov/Archives/edgar/data/1798562/000110465922100884/tm2225852d1_s3.htm#m21" TargetMode="External"/><Relationship Id="rId98" Type="http://schemas.openxmlformats.org/officeDocument/2006/relationships/hyperlink" Target="https://www.sec.gov/Archives/edgar/data/1798562/000121390021033645/fs42021a2ex96-1_sustainable.htm" TargetMode="External"/><Relationship Id="rId99" Type="http://schemas.openxmlformats.org/officeDocument/2006/relationships/hyperlink" Target="https://www.sec.gov/Archives/edgar/data/1798562/000121390021033645/fs42021a2ex96-2_sustainable.htm" TargetMode="External"/><Relationship Id="rId100" Type="http://schemas.openxmlformats.org/officeDocument/2006/relationships/hyperlink" Target="https://www.sec.gov/Archives/edgar/data/1798562/000110465922100884/tm2225852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2022-10-06T05:22:16Z</dcterms:created>
  <dcterms:modified xsi:type="dcterms:W3CDTF">2022-10-06T05:22:16Z</dcterms:modified>
</cp:coreProperties>
</file>