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Greig Andrew Carlyle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95,238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4,191,065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Issuer's Nonemployee Director Compensation Policy, Mr. Greig was granted restricted stock units under the Issuer's 2021 Incentive Equity Plan, which will vest over a three year period as follows, subject to continued service through each vesting date: 1/3 on the first anniversary of September 30, 2022 (the "Grant Date"), 1/3 on the second anniversary of the Grant Date and 1/3 on the third anniversary of the Grant Date.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Cohan,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2486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2022-10-12T20:56:29Z</dcterms:created>
  <dcterms:modified xsi:type="dcterms:W3CDTF">2022-10-12T20:56:29Z</dcterms:modified>
</cp:coreProperties>
</file>