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color w:val="auto"/>
        </w:rPr>
        <w:t>Filed Pursuant to Rule 424(b)(3)</w:t>
      </w: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Registration No. 333-267479</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11350" cy="642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642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MILLION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38,266,180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SELLING SHAREHOLDERS</w:t>
      </w:r>
    </w:p>
    <w:p>
      <w:pPr>
        <w:spacing w:after="0" w:line="20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of up to $100 million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selling shareholders identified in this prospectus may from time to time sell up to 38,266,180 of our common shares, without par value, or the Common Shares. We will not receive any proceeds from the sale, if any, of Common Shares by the selling shareholders. Unless otherwise set forth in a prospectus supplement, if required, the selling shareholders will pay any underwriting discounts and commissions and transfer taxes incurred by the selling shareholders in disposing of the Common Shares.</w:t>
      </w:r>
    </w:p>
    <w:p>
      <w:pPr>
        <w:spacing w:after="0" w:line="180"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spacing w:after="0" w:line="187"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“TMC”. On October 4, 2022, the last reported sale price of our Common Shares was $1.02 per share. We also have warrants to purchase Common Shares listed on the Nasdaq Global Select Market under the symbol “TMCWW”. On October 4, 2022, the last reported sale price of these public warrants to purchase Common Shares was $0.148.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8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8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800" w:type="dxa"/>
            <w:vAlign w:val="bottom"/>
            <w:tcBorders>
              <w:bottom w:val="single" w:sz="8" w:color="CCEEFF"/>
            </w:tcBorders>
            <w:gridSpan w:val="1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780" w:type="dxa"/>
            <w:vAlign w:val="bottom"/>
            <w:tcBorders>
              <w:bottom w:val="single" w:sz="8" w:color="CCEEFF"/>
            </w:tcBorders>
            <w:gridSpan w:val="19"/>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980" w:type="dxa"/>
            <w:vAlign w:val="bottom"/>
            <w:tcBorders>
              <w:bottom w:val="single" w:sz="8" w:color="CCEEFF"/>
            </w:tcBorders>
            <w:gridSpan w:val="1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 AND SPECIAL SHARES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7780" w:type="dxa"/>
            <w:vAlign w:val="bottom"/>
            <w:tcBorders>
              <w:bottom w:val="single" w:sz="8" w:color="CCEEFF"/>
            </w:tcBorders>
            <w:gridSpan w:val="9"/>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176"/>
        </w:trPr>
        <w:tc>
          <w:tcPr>
            <w:tcW w:w="24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8560" w:type="dxa"/>
            <w:vAlign w:val="bottom"/>
            <w:tcBorders>
              <w:top w:val="single" w:sz="8" w:color="CCEEFF"/>
            </w:tcBorders>
            <w:gridSpan w:val="11"/>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2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IMPORTANT PROVISIONS OF THE NOTICE OF ARTICLES AND ARTICLES AND THE BCBCA</w:t>
            </w:r>
          </w:p>
        </w:tc>
        <w:tc>
          <w:tcPr>
            <w:tcW w:w="2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OWNERSHIP AND EXCHANGE CONTROLS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35</w:t>
            </w:r>
          </w:p>
        </w:tc>
        <w:tc>
          <w:tcPr>
            <w:tcW w:w="2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616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CANADIAN FEDERAL INCOME TAX CONSIDERATIONS</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44</w:t>
            </w:r>
          </w:p>
        </w:tc>
        <w:tc>
          <w:tcPr>
            <w:tcW w:w="2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shd w:val="clear" w:color="auto" w:fill="CCEEFF"/>
          </w:tcPr>
          <w:p>
            <w:pPr>
              <w:spacing w:after="0"/>
              <w:rPr>
                <w:sz w:val="17"/>
                <w:szCs w:val="17"/>
                <w:color w:val="auto"/>
              </w:rPr>
            </w:pPr>
          </w:p>
        </w:tc>
      </w:tr>
      <w:tr>
        <w:trPr>
          <w:trHeight w:val="176"/>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580" w:type="dxa"/>
            <w:vAlign w:val="bottom"/>
            <w:tcBorders>
              <w:top w:val="single" w:sz="8" w:color="CCEEFF"/>
            </w:tcBorders>
            <w:gridSpan w:val="18"/>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0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46</w:t>
            </w:r>
          </w:p>
        </w:tc>
        <w:tc>
          <w:tcPr>
            <w:tcW w:w="20" w:type="dxa"/>
            <w:vAlign w:val="bottom"/>
          </w:tcPr>
          <w:p>
            <w:pPr>
              <w:spacing w:after="0"/>
              <w:rPr>
                <w:sz w:val="15"/>
                <w:szCs w:val="15"/>
                <w:color w:val="auto"/>
              </w:rPr>
            </w:pPr>
          </w:p>
        </w:tc>
      </w:tr>
      <w:tr>
        <w:trPr>
          <w:trHeight w:val="696"/>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the selling shareholders may change over time. When the selling shareholders sell our Common Shares under this prospectus, we will, if necessary and required by law, provide a prospectus supplement that will contain specific information about the terms of that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Company,” “we,” “us,” “our” and similar terms refer to TMC the metals company Inc. and our subsidiaries.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w:t>
      </w:r>
      <w:r>
        <w:rPr>
          <w:rFonts w:ascii="Times New Roman" w:cs="Times New Roman" w:eastAsia="Times New Roman" w:hAnsi="Times New Roman"/>
          <w:sz w:val="18"/>
          <w:szCs w:val="18"/>
          <w:color w:val="auto"/>
        </w:rPr>
        <w:t>: We have not done anything that would permit these offerings or possession or distribution of this prospectus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jurisdiction where action for that purpose is required, other than in the United States. You are required to inform yourselves about and to observe any restrictions relating to this offering and the distribution of this prospectus.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025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PROSPECTUS SUMMARY</w:t>
      </w:r>
    </w:p>
    <w:p>
      <w:pPr>
        <w:spacing w:after="0" w:line="227" w:lineRule="exact"/>
        <w:rPr>
          <w:sz w:val="20"/>
          <w:szCs w:val="20"/>
          <w:color w:val="auto"/>
        </w:rPr>
      </w:pPr>
    </w:p>
    <w:p>
      <w:pPr>
        <w:jc w:val="both"/>
        <w:ind w:left="10"/>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About TMC the metals company Inc.</w:t>
      </w:r>
    </w:p>
    <w:p>
      <w:pPr>
        <w:spacing w:after="0" w:line="229"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or the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3"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or EVs, and renewable energy storage markets, (ii) nickel-copper-cobalt matte and/or copper cathode for EV wiring, clean energy transmission and other applications and</w:t>
      </w:r>
    </w:p>
    <w:p>
      <w:pPr>
        <w:spacing w:after="0" w:line="3" w:lineRule="exact"/>
        <w:rPr>
          <w:sz w:val="20"/>
          <w:szCs w:val="20"/>
          <w:color w:val="auto"/>
        </w:rPr>
      </w:pPr>
    </w:p>
    <w:p>
      <w:pPr>
        <w:jc w:val="both"/>
        <w:ind w:left="10" w:hanging="10"/>
        <w:spacing w:after="0" w:line="255"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manganese silicate for manganese alloy production required for steel production. Our mission is to build a carefully managed shared stock of metal, which we refer to as a metals common, that can be used, recovered and reused for generations to come. Significant quantities of newly mined metal are required because existing metal stocks are insufficient to meet rapidly rising demand.</w:t>
      </w:r>
    </w:p>
    <w:p>
      <w:pPr>
        <w:spacing w:after="0" w:line="186"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spacing w:after="0" w:line="194"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Group S.A.,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or Glencore, which holds offtake rights on 50% of the NORI nickel and copper production.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(a Glencore subsidiary) facilities and bench-scale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or Epsilon Carbon, in which Epsilon Carbon expressed its intent to conduct pre-feasibility work to potentially finance, engineer, permit, construct and operate a commercial polymetallic nodule processing plant in India.</w:t>
      </w:r>
    </w:p>
    <w:p>
      <w:pPr>
        <w:spacing w:after="0" w:line="200" w:lineRule="exact"/>
        <w:rPr>
          <w:sz w:val="20"/>
          <w:szCs w:val="20"/>
          <w:color w:val="auto"/>
        </w:rPr>
      </w:pPr>
    </w:p>
    <w:p>
      <w:pPr>
        <w:spacing w:after="0" w:line="34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50"/>
          </w:cols>
          <w:pgMar w:left="670" w:top="1022" w:right="67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6064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environmental, social and governance (ESG) impacts of offshore nodule collection, and (iv) developing onshore technology to process collected polymetallic nodules into a manganese silicate product, and an intermediate nickel-copper-cobalt matte product and/or end-products like nickel and cobalt sulfates, and copper cathode. We will need additional funding to reach our expected commercial production in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the NORI Initial Assessment and TOML Mineral Resource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or AMC,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prospectus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680" w:top="1026" w:right="679" w:bottom="1440" w:gutter="0" w:footer="0" w:header="0"/>
        </w:sectPr>
      </w:pPr>
    </w:p>
    <w:bookmarkStart w:id="5" w:name="page6"/>
    <w:bookmarkEnd w:id="5"/>
    <w:p>
      <w:pPr>
        <w:jc w:val="both"/>
        <w:ind w:left="1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7573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Likewise, you are cautioned not to assume that all or any part of measured or indicated mineral resources will ever be upgraded to mineral reserves.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jc w:val="both"/>
        <w:ind w:left="10"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as described under the caption “Incorporation of Documents by Reference” on page 46 of this prospectus.</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Our Corporate Information</w:t>
      </w:r>
    </w:p>
    <w:p>
      <w:pPr>
        <w:spacing w:after="0" w:line="229"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8"/>
          <w:szCs w:val="18"/>
          <w:color w:val="auto"/>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Business Combination, SOAC changed its name to “TMC the metals company Inc.” Our principal executive offices are located at 595 Howe Street, 10th Floor, Vancouver, British Columbia V6C 2T5, and our telephone number is (574) 252-9333. Our website address is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spacing w:after="0" w:line="188"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8"/>
          <w:szCs w:val="18"/>
          <w:color w:val="auto"/>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Offerings Under This Prospectus by Us</w:t>
      </w:r>
    </w:p>
    <w:p>
      <w:pPr>
        <w:spacing w:after="0" w:line="229"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spacing w:after="0" w:line="176"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7"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9"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and other options to purchase additional securities, if any; and</w:t>
      </w:r>
    </w:p>
    <w:p>
      <w:pPr>
        <w:spacing w:after="0" w:line="9"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by us unless it is accompanied by a prospectus supplement.</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Selling Shareholders May Offer</w:t>
      </w:r>
    </w:p>
    <w:p>
      <w:pPr>
        <w:spacing w:after="0" w:line="229" w:lineRule="exact"/>
        <w:rPr>
          <w:sz w:val="20"/>
          <w:szCs w:val="20"/>
          <w:color w:val="auto"/>
        </w:rPr>
      </w:pPr>
    </w:p>
    <w:p>
      <w:pPr>
        <w:ind w:left="10" w:right="20"/>
        <w:spacing w:after="0" w:line="282" w:lineRule="auto"/>
        <w:rPr>
          <w:sz w:val="20"/>
          <w:szCs w:val="20"/>
          <w:color w:val="auto"/>
        </w:rPr>
      </w:pPr>
      <w:r>
        <w:rPr>
          <w:rFonts w:ascii="Times New Roman" w:cs="Times New Roman" w:eastAsia="Times New Roman" w:hAnsi="Times New Roman"/>
          <w:sz w:val="18"/>
          <w:szCs w:val="18"/>
          <w:color w:val="auto"/>
        </w:rPr>
        <w:t>The selling shareholders named in this prospectus may offer and resell from time to time up to 38,266,180 Common Shares. We will not receive any proceeds from the sale of Common Shares by the selling shareholders. Please see the section titled “Selling Shareholders” in this prospectus.</w:t>
      </w:r>
    </w:p>
    <w:p>
      <w:pPr>
        <w:spacing w:after="0" w:line="200" w:lineRule="exact"/>
        <w:rPr>
          <w:sz w:val="20"/>
          <w:szCs w:val="20"/>
          <w:color w:val="auto"/>
        </w:rPr>
      </w:pPr>
    </w:p>
    <w:p>
      <w:pPr>
        <w:spacing w:after="0" w:line="31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50"/>
          </w:cols>
          <w:pgMar w:left="670" w:top="1242" w:right="6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spacing w:after="0" w:line="196"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potential commercialization plans;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ISA’s final exploitation regulations that will create the legal and technical framework for exploitation of polymetallic nodules in the CCZ;</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and the need for additional financing;</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the nature of such financings;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 and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shareholders will make offers and sales pursuant to this prospectus and, if required, any applicable prospectus supplement. We will not receive any proceeds from the sale or other disposition by the selling shareholders of the Common Shares covered hereby, or interests therein. The selling shareholders will pay any expenses incurred by the selling shareholders for brokerage, accounting, tax or legal services or any other expenses incurred by the selling shareholders in disposing of these shares. We will bear all other costs, fees and expenses incurred in effecting the registration of the shares covered by this prospectus, including, without limitation, all registration fees, listing fees of The Nasdaq Stock Market and fees and expenses of our counsel and our independent registered public accounting firm.</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registering for resale an aggregate of 38,266,180 Common Shares, all of which have been issued by us as of the date of this prospectus, that may be sold by the selling shareholders set forth herein. Of these shares, 37,978,680 Common Shares were issued to the selling shareholders pursuant to that certain securities purchase agreement, dated August 12, 2022, or the PIPE Purchase Agreement, with the purchasers named therein for the issuance and sale of an aggregate of 31,625,000 Common Shares at a purchase price of $0.80 per share, a separate securities purchase agreement with Gerard Barron, our Chief Executive Officer and Chairman, or the Barron Purchase Agreement, for the issuance and sale of 103,680 Common Shares at $0.9645 per share, the consolidated closing bid price per Common Share on the Nasdaq Global Select Market on August 11, 2022, the date immediately preceding the signing of the Barron Purchase Agreement, and a separate securities purchase agreement with ERAS Capital LLC, the family fund of one of our directors, Andrei Karkar, for the issuance and sale of 6,250,000 Common Shares at a purchase price of $0.80 per share, or the ERAS Purchase Agreement. The PIPE Purchase Agreement, the Barron Purchase Agreement and the ERAS Purchase Agreement are referred to herein collectively as the Purchase Agreements. An aggregate of 287,500 Common Shares were issued to certain of our advisors in connection with advisory services they rendered related to the issuances of Common Shares pursuant to the Purchase Agreements. We are registering the resale of these Common Shares pursuant to the Purchase Agreements as well as arrangements with certain of our advisors. We will not receive any proceeds from the resale of the Common Shares by the selling shareholders.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and the accompanying footnotes are based in part on information supplied to us by the selling shareholders. The table and footnotes assume that the selling shareholders will sell all of the shares listed. However, because the selling shareholders may sell all or some of their shares under this prospectus from time to time, or in another permitted manner, we cannot assure you as to the actual number of shares that will be sold by the selling shareholders or that will be held by the selling shareholders after completion of any sales. We do not know how long the selling shareholders will hold the shares before selling them.</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Shares as of August 31, 2022 by each selling shareholder. Beneficial ownership is determined in accordance with the rules of the SEC and includes voting or investment power with respect to the securities. We deem Common Shares that may be acquired by an individual or group within 60 days of August 31, 2022 pursuant to the exercise of options or conversion of convertible securities to be outstanding for the purpose of computing the percentage ownership of such individual or group, but those shares are not deemed to be outstanding for the purpose of computing the percentage ownership of any other person shown in the table. The Common Shares issuable upon conversion of any Special Shares owned by the selling shareholders are not beneficially owned by any of the selling shareholders and are excluded from the beneficial ownership columns in the table below since the conversions of such Special Shares are subject to the Common Share trading price thresholds described herein. Please see the section titled “Description of Common Shares and Special Shares” in this prospectus. Except as indicated in footnotes to this table, we believe that the shareholders named in this table have sole voting and investment power with respect to all Common Shares shown to be beneficially owned by them based on information provided to us by these shareholders. Percentage of ownership prior to the offering is based on 265,424,635 Common Shares outstanding on August 31, 2022, assuming that we issued all of the 37,978,680 Common Shares issued under the Purchase Agreements and the 287,500 Common Shares issued to our advisors on or before such date.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 Shares to be</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Common Shares Beneficially</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 Owned After</w:t>
            </w:r>
          </w:p>
        </w:tc>
        <w:tc>
          <w:tcPr>
            <w:tcW w:w="0" w:type="dxa"/>
            <w:vAlign w:val="bottom"/>
          </w:tcPr>
          <w:p>
            <w:pPr>
              <w:spacing w:after="0"/>
              <w:rPr>
                <w:sz w:val="1"/>
                <w:szCs w:val="1"/>
                <w:color w:val="auto"/>
              </w:rPr>
            </w:pPr>
          </w:p>
        </w:tc>
      </w:tr>
      <w:tr>
        <w:trPr>
          <w:trHeight w:val="238"/>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Selling Shareholder</w:t>
            </w:r>
            <w:r>
              <w:rPr>
                <w:rFonts w:ascii="Times New Roman" w:cs="Times New Roman" w:eastAsia="Times New Roman" w:hAnsi="Times New Roman"/>
                <w:sz w:val="29"/>
                <w:szCs w:val="29"/>
                <w:b w:val="1"/>
                <w:bCs w:val="1"/>
                <w:color w:val="auto"/>
                <w:vertAlign w:val="superscript"/>
              </w:rPr>
              <w:t>(1)</w:t>
            </w:r>
          </w:p>
        </w:tc>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Owned Prior to Offering</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Being</w:t>
            </w:r>
          </w:p>
        </w:tc>
        <w:tc>
          <w:tcPr>
            <w:tcW w:w="2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2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11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Willeese Pty Ltd ATF Wilson Family Trust</w:t>
            </w:r>
            <w:r>
              <w:rPr>
                <w:rFonts w:ascii="Times New Roman" w:cs="Times New Roman" w:eastAsia="Times New Roman" w:hAnsi="Times New Roman"/>
                <w:sz w:val="27"/>
                <w:szCs w:val="27"/>
                <w:color w:val="auto"/>
                <w:vertAlign w:val="superscript"/>
              </w:rPr>
              <w:t>(2)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1,522,990</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1,147,990</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Cadence Capital Limited</w:t>
            </w:r>
            <w:r>
              <w:rPr>
                <w:rFonts w:ascii="Times New Roman" w:cs="Times New Roman" w:eastAsia="Times New Roman" w:hAnsi="Times New Roman"/>
                <w:sz w:val="29"/>
                <w:szCs w:val="29"/>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Cadence Opportunities Fund Limited</w:t>
            </w:r>
            <w:r>
              <w:rPr>
                <w:rFonts w:ascii="Times New Roman" w:cs="Times New Roman" w:eastAsia="Times New Roman" w:hAnsi="Times New Roman"/>
                <w:sz w:val="29"/>
                <w:szCs w:val="29"/>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Carrera Capital International Ltd.</w:t>
            </w:r>
            <w:r>
              <w:rPr>
                <w:rFonts w:ascii="Times New Roman" w:cs="Times New Roman" w:eastAsia="Times New Roman" w:hAnsi="Times New Roman"/>
                <w:sz w:val="29"/>
                <w:szCs w:val="29"/>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1,719,890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1,469,890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Lucas Cahill</w:t>
            </w:r>
            <w:r>
              <w:rPr>
                <w:rFonts w:ascii="Times New Roman" w:cs="Times New Roman" w:eastAsia="Times New Roman" w:hAnsi="Times New Roman"/>
                <w:sz w:val="29"/>
                <w:szCs w:val="29"/>
                <w:color w:val="auto"/>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1,198,298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510,798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Brian Paes-Braga</w:t>
            </w:r>
            <w:r>
              <w:rPr>
                <w:rFonts w:ascii="Times New Roman" w:cs="Times New Roman" w:eastAsia="Times New Roman" w:hAnsi="Times New Roman"/>
                <w:sz w:val="29"/>
                <w:szCs w:val="29"/>
                <w:color w:val="auto"/>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2,325,731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763,231</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Valola Holdings Corp.</w:t>
            </w:r>
            <w:r>
              <w:rPr>
                <w:rFonts w:ascii="Times New Roman" w:cs="Times New Roman" w:eastAsia="Times New Roman" w:hAnsi="Times New Roman"/>
                <w:sz w:val="29"/>
                <w:szCs w:val="29"/>
                <w:color w:val="auto"/>
                <w:vertAlign w:val="superscript"/>
              </w:rPr>
              <w:t>(8)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South Lake One LLC</w:t>
            </w:r>
            <w:r>
              <w:rPr>
                <w:rFonts w:ascii="Times New Roman" w:cs="Times New Roman" w:eastAsia="Times New Roman" w:hAnsi="Times New Roman"/>
                <w:sz w:val="29"/>
                <w:szCs w:val="29"/>
                <w:color w:val="auto"/>
                <w:vertAlign w:val="superscript"/>
              </w:rPr>
              <w:t>(9)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12,284,667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9,784,667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Brian Stewart</w:t>
            </w:r>
            <w:r>
              <w:rPr>
                <w:rFonts w:ascii="Times New Roman" w:cs="Times New Roman" w:eastAsia="Times New Roman" w:hAnsi="Times New Roman"/>
                <w:sz w:val="29"/>
                <w:szCs w:val="29"/>
                <w:color w:val="auto"/>
                <w:vertAlign w:val="superscript"/>
              </w:rPr>
              <w:t>(10)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Namdar Family Holdings LLC</w:t>
            </w:r>
            <w:r>
              <w:rPr>
                <w:rFonts w:ascii="Times New Roman" w:cs="Times New Roman" w:eastAsia="Times New Roman" w:hAnsi="Times New Roman"/>
                <w:sz w:val="29"/>
                <w:szCs w:val="29"/>
                <w:color w:val="auto"/>
                <w:vertAlign w:val="superscript"/>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Majid Fahd M Alghaslan</w:t>
            </w:r>
            <w:r>
              <w:rPr>
                <w:rFonts w:ascii="Times New Roman" w:cs="Times New Roman" w:eastAsia="Times New Roman" w:hAnsi="Times New Roman"/>
                <w:sz w:val="29"/>
                <w:szCs w:val="29"/>
                <w:color w:val="auto"/>
                <w:vertAlign w:val="superscript"/>
              </w:rPr>
              <w:t>(12)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BMO Nesbitt Burns Inc. ITF Lynwood Opportunities Master Fund</w:t>
            </w:r>
            <w:r>
              <w:rPr>
                <w:rFonts w:ascii="Times New Roman" w:cs="Times New Roman" w:eastAsia="Times New Roman" w:hAnsi="Times New Roman"/>
                <w:sz w:val="29"/>
                <w:szCs w:val="29"/>
                <w:color w:val="auto"/>
                <w:vertAlign w:val="superscript"/>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Nero Resource Fund Pty Ltd</w:t>
            </w:r>
            <w:r>
              <w:rPr>
                <w:rFonts w:ascii="Times New Roman" w:cs="Times New Roman" w:eastAsia="Times New Roman" w:hAnsi="Times New Roman"/>
                <w:sz w:val="29"/>
                <w:szCs w:val="29"/>
                <w:color w:val="auto"/>
                <w:vertAlign w:val="superscript"/>
              </w:rPr>
              <w:t>(14)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Peter Jon Deschenes Jr</w:t>
            </w:r>
            <w:r>
              <w:rPr>
                <w:rFonts w:ascii="Times New Roman" w:cs="Times New Roman" w:eastAsia="Times New Roman" w:hAnsi="Times New Roman"/>
                <w:sz w:val="29"/>
                <w:szCs w:val="29"/>
                <w:color w:val="auto"/>
                <w:vertAlign w:val="superscript"/>
              </w:rPr>
              <w:t>(15)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RF Trust</w:t>
            </w:r>
            <w:r>
              <w:rPr>
                <w:rFonts w:ascii="Times New Roman" w:cs="Times New Roman" w:eastAsia="Times New Roman" w:hAnsi="Times New Roman"/>
                <w:sz w:val="29"/>
                <w:szCs w:val="29"/>
                <w:color w:val="auto"/>
                <w:vertAlign w:val="superscript"/>
              </w:rPr>
              <w:t>(16)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Gadi Slade</w:t>
            </w:r>
            <w:r>
              <w:rPr>
                <w:rFonts w:ascii="Times New Roman" w:cs="Times New Roman" w:eastAsia="Times New Roman" w:hAnsi="Times New Roman"/>
                <w:sz w:val="29"/>
                <w:szCs w:val="29"/>
                <w:color w:val="auto"/>
                <w:vertAlign w:val="superscript"/>
              </w:rPr>
              <w:t>(17)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Ronit Global Opportunities Master Fund Limited</w:t>
            </w:r>
            <w:r>
              <w:rPr>
                <w:rFonts w:ascii="Times New Roman" w:cs="Times New Roman" w:eastAsia="Times New Roman" w:hAnsi="Times New Roman"/>
                <w:sz w:val="29"/>
                <w:szCs w:val="29"/>
                <w:color w:val="auto"/>
                <w:vertAlign w:val="superscript"/>
              </w:rPr>
              <w:t>(18)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1,748,154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Leste Global Fund SPC - Segregated Portfolio B</w:t>
            </w:r>
            <w:r>
              <w:rPr>
                <w:rFonts w:ascii="Times New Roman" w:cs="Times New Roman" w:eastAsia="Times New Roman" w:hAnsi="Times New Roman"/>
                <w:sz w:val="29"/>
                <w:szCs w:val="29"/>
                <w:color w:val="auto"/>
                <w:vertAlign w:val="superscript"/>
              </w:rPr>
              <w:t>(19)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Light Doors LLC</w:t>
            </w:r>
            <w:r>
              <w:rPr>
                <w:rFonts w:ascii="Times New Roman" w:cs="Times New Roman" w:eastAsia="Times New Roman" w:hAnsi="Times New Roman"/>
                <w:sz w:val="29"/>
                <w:szCs w:val="29"/>
                <w:color w:val="auto"/>
                <w:vertAlign w:val="superscript"/>
              </w:rPr>
              <w:t>(20)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Lydia Barron</w:t>
            </w:r>
            <w:r>
              <w:rPr>
                <w:rFonts w:ascii="Times New Roman" w:cs="Times New Roman" w:eastAsia="Times New Roman" w:hAnsi="Times New Roman"/>
                <w:sz w:val="29"/>
                <w:szCs w:val="29"/>
                <w:color w:val="auto"/>
                <w:vertAlign w:val="superscript"/>
              </w:rPr>
              <w:t>(21)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Claudia Barron</w:t>
            </w:r>
            <w:r>
              <w:rPr>
                <w:rFonts w:ascii="Times New Roman" w:cs="Times New Roman" w:eastAsia="Times New Roman" w:hAnsi="Times New Roman"/>
                <w:sz w:val="29"/>
                <w:szCs w:val="29"/>
                <w:color w:val="auto"/>
                <w:vertAlign w:val="superscript"/>
              </w:rPr>
              <w:t>(22)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264,632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Charlotte Barron</w:t>
            </w:r>
            <w:r>
              <w:rPr>
                <w:rFonts w:ascii="Times New Roman" w:cs="Times New Roman" w:eastAsia="Times New Roman" w:hAnsi="Times New Roman"/>
                <w:sz w:val="29"/>
                <w:szCs w:val="29"/>
                <w:color w:val="auto"/>
                <w:vertAlign w:val="superscript"/>
              </w:rPr>
              <w:t>(23)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271,538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Allseas Group S.A.</w:t>
            </w:r>
            <w:r>
              <w:rPr>
                <w:rFonts w:ascii="Times New Roman" w:cs="Times New Roman" w:eastAsia="Times New Roman" w:hAnsi="Times New Roman"/>
                <w:sz w:val="29"/>
                <w:szCs w:val="29"/>
                <w:color w:val="auto"/>
                <w:vertAlign w:val="superscript"/>
              </w:rPr>
              <w:t>(24)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22,701,648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16,451,648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Gerard Barron</w:t>
            </w:r>
            <w:r>
              <w:rPr>
                <w:rFonts w:ascii="Times New Roman" w:cs="Times New Roman" w:eastAsia="Times New Roman" w:hAnsi="Times New Roman"/>
                <w:sz w:val="29"/>
                <w:szCs w:val="29"/>
                <w:color w:val="auto"/>
                <w:vertAlign w:val="superscript"/>
              </w:rPr>
              <w:t>(25)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18,806,677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18,702,997</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ERAS Capital LLC</w:t>
            </w:r>
            <w:r>
              <w:rPr>
                <w:rFonts w:ascii="Times New Roman" w:cs="Times New Roman" w:eastAsia="Times New Roman" w:hAnsi="Times New Roman"/>
                <w:sz w:val="29"/>
                <w:szCs w:val="29"/>
                <w:color w:val="auto"/>
                <w:vertAlign w:val="superscript"/>
              </w:rPr>
              <w:t>(26)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53,370,692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47,120,692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Odeon Capital Group LLC</w:t>
            </w:r>
            <w:r>
              <w:rPr>
                <w:rFonts w:ascii="Times New Roman" w:cs="Times New Roman" w:eastAsia="Times New Roman" w:hAnsi="Times New Roman"/>
                <w:sz w:val="29"/>
                <w:szCs w:val="29"/>
                <w:color w:val="auto"/>
                <w:vertAlign w:val="superscript"/>
              </w:rPr>
              <w:t>(27)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Edward Sugar</w:t>
            </w:r>
            <w:r>
              <w:rPr>
                <w:rFonts w:ascii="Times New Roman" w:cs="Times New Roman" w:eastAsia="Times New Roman" w:hAnsi="Times New Roman"/>
                <w:sz w:val="29"/>
                <w:szCs w:val="29"/>
                <w:color w:val="auto"/>
                <w:vertAlign w:val="superscript"/>
              </w:rPr>
              <w:t>(28)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Rogier de la Rambelje</w:t>
            </w:r>
            <w:r>
              <w:rPr>
                <w:rFonts w:ascii="Times New Roman" w:cs="Times New Roman" w:eastAsia="Times New Roman" w:hAnsi="Times New Roman"/>
                <w:sz w:val="29"/>
                <w:szCs w:val="29"/>
                <w:color w:val="auto"/>
                <w:vertAlign w:val="superscript"/>
              </w:rPr>
              <w:t>(29)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Bonner</w:t>
            </w:r>
            <w:r>
              <w:rPr>
                <w:rFonts w:ascii="Times New Roman" w:cs="Times New Roman" w:eastAsia="Times New Roman" w:hAnsi="Times New Roman"/>
                <w:sz w:val="29"/>
                <w:szCs w:val="29"/>
                <w:color w:val="auto"/>
                <w:vertAlign w:val="superscript"/>
              </w:rPr>
              <w:t>(30)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Shares.</w:t>
      </w:r>
    </w:p>
    <w:p>
      <w:pPr>
        <w:spacing w:after="0" w:line="27" w:lineRule="exact"/>
        <w:rPr>
          <w:rFonts w:ascii="Times New Roman" w:cs="Times New Roman" w:eastAsia="Times New Roman" w:hAnsi="Times New Roman"/>
          <w:sz w:val="18"/>
          <w:szCs w:val="18"/>
          <w:color w:val="auto"/>
        </w:rPr>
      </w:pPr>
    </w:p>
    <w:p>
      <w:pPr>
        <w:ind w:left="460" w:right="20" w:hanging="448"/>
        <w:spacing w:after="0" w:line="25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these holders is c/o TMC the metals company Inc., 595 Howe Street, 10th Floor, Vancouver, British Columbia, Canada V6C 2T5.</w:t>
      </w:r>
    </w:p>
    <w:p>
      <w:pPr>
        <w:ind w:left="460" w:right="20" w:hanging="448"/>
        <w:spacing w:after="0" w:line="25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David Wilson may be deemed to have voting and investment power over the shares held by Willeese Pty Ltd ATF Wilson Family Trust. The business address of such holder is 58 Warragal Road, Turramurra, New South Wales, 2074, Australia.</w:t>
      </w:r>
    </w:p>
    <w:p>
      <w:pPr>
        <w:ind w:left="460" w:right="20" w:hanging="448"/>
        <w:spacing w:after="0" w:line="25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Capital Limited is a company listed on the Australian Securities Exchange. The business address of such holder is 11/131 Macquarie Street, Sydney, NSW, 2000.</w:t>
      </w:r>
    </w:p>
    <w:p>
      <w:pPr>
        <w:ind w:left="460" w:right="20" w:hanging="448"/>
        <w:spacing w:after="0" w:line="25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Cadence Opportunities Fund Limited is a company listed on the Australian Securities Exchange. The business address of such holder is 11/131 Macquarie Street, Sydney, NSW, 2000.</w:t>
      </w:r>
    </w:p>
    <w:p>
      <w:pPr>
        <w:ind w:left="460" w:right="20" w:hanging="448"/>
        <w:spacing w:after="0" w:line="260" w:lineRule="auto"/>
        <w:tabs>
          <w:tab w:leader="none" w:pos="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Zicherman may be deemed to have voting and investment power over the shares held by Carrera Capital International Ltd. The business address of such holder is One Nexus Way, Camana Bay, Grand Cayman, Cayman Islands, KY1-9005.</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One Connaught Place, 1st Floor, London, W2 WET, United Kingdom.</w:t>
      </w:r>
    </w:p>
    <w:p>
      <w:pPr>
        <w:spacing w:after="0" w:line="27"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57,893 Common Shares held by its wholly-owned subsidiary, WTP Capital Corp. and 126,407 Common Shares underlying options that are exercisable within 60 days of August 31, 2022. Mr. Paes-Braga may be deemed to have voting and investment power over the shares held by WTP Capital Corp. and Valola Holdings Corp. The business address of such holder is One Connaught Place, 1st Floor, London, W2 WET, United Kingdom. Mr. Paes-Braga was formerly a non-employee director of DeepGreen.</w:t>
      </w:r>
    </w:p>
    <w:p>
      <w:pPr>
        <w:spacing w:after="0" w:line="1"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Paes-Braga may be deemed to have voting and investment power over the shares held by Valola Holdings Corp. The business address of such holder is One Nexus Way, Camana Bay, Grand Cayman, Cayman Islands, KY1-9005.</w:t>
      </w: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Isidoro Alfonso Quiroga Cortés, María Victoria Quiroga Moreno, Martín Abraham Guiloff Salvador and Luis Felipe Correa González, in their capacity as members of the board of managers, may be deemed to have voting and dispositive power (acting jointly Isidoro Alfonso Quiroga Cortés or María Victoria Quiroga Moreno with any of between Martín Abraham Guiloff Salvador and Luis Felipe Correa González) with respect to the securities held by South Lake One LLC. The business address of such holder is Presidente Riesco 5711 office 1603, Las Condes, Santiago, Chile.</w:t>
      </w:r>
    </w:p>
    <w:p>
      <w:pPr>
        <w:spacing w:after="0" w:line="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Weathervane Circle, Cream Ridge, NJ 08514.</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Igal Namdar may be deemed to have voting and investment power over the shares held by Namdar Family Holdings LLC. The business address of such holder is 150 Great Neck Road, Suite 304, Great Neck, NY, 11021.</w:t>
      </w: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3618, Al Amir Muhammad bin Fahd Rd, Al Qusur Unit 6, Dhahran, Kingdom of Saudi Arabia.</w:t>
      </w:r>
    </w:p>
    <w:p>
      <w:pPr>
        <w:spacing w:after="0" w:line="9"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Shapiro may be deemed to have voting and investment power over the shares held by BMO Nesbitt Burns Inc. ITF Lynwood Opportunities Master Fund. The business address of such holder is FG Services Limited, #2206, Cassia Court, 72 Market St., Camana Bay, P.O. Box 30869 Grand Cayman KY1-1204, Cayman Islands.</w:t>
      </w:r>
    </w:p>
    <w:p>
      <w:pPr>
        <w:spacing w:after="0" w:line="1"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AAM PO Box 107, Morley, Western Australia, Australia 6943.</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115 East 67th Street, Apartment 4B, New York, NY 10065.</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Muriel Rubin and Harriet Rothfeld may be deemed to have voting and investment power over the shares held by The RF Trust. The business address of such holder is PO Box 213399, Royal Palm Beach, Florida 33421.</w:t>
      </w: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48 Owenoke Park, Westport, CT 06880, USA.</w:t>
      </w:r>
    </w:p>
    <w:p>
      <w:pPr>
        <w:spacing w:after="0" w:line="9"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Ronit Capital LLP may be deemed to have voting and investment power over the shares held by Ronit Global Opportunities Master Fund Limited. The business address of such holder is C/O Ronit Capital LLP, 20 North Audley Street, London, W1K 6WE, UK.</w:t>
      </w: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Emmanuel Rose Hermann may be deemed to have voting and investment power over the shares held by Leste Global Fund SPC - Segregated Portfolio B. The business address of such holder is Conyers Trust Company (Cayman) Limited, Cricket Square, Hutchins Drive, PO Box 2681, George Town, Grand Cayman, KY1-1111, Cayman Islands.</w:t>
      </w:r>
    </w:p>
    <w:p>
      <w:pPr>
        <w:spacing w:after="0" w:line="1" w:lineRule="exact"/>
        <w:rPr>
          <w:rFonts w:ascii="Times New Roman" w:cs="Times New Roman" w:eastAsia="Times New Roman" w:hAnsi="Times New Roman"/>
          <w:sz w:val="18"/>
          <w:szCs w:val="18"/>
          <w:color w:val="auto"/>
        </w:rPr>
      </w:pPr>
    </w:p>
    <w:p>
      <w:pPr>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Light Doors LLC. The business address of such holder is 750 Lexington Avenue, 27th Floor, NY, NY 10022.</w:t>
      </w: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399,944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300,238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307,144 Common Shares and (ii) 89,394 Common Shares issued upon exercise of warrants.</w:t>
      </w:r>
    </w:p>
    <w:p>
      <w:pPr>
        <w:spacing w:after="0" w:line="9"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11,578,620 Common Shares issuable upon exercise of the warrant held by Allseas Group S.A. (“Allseas”). Edward Heerema, the Administrateur President of Allseas, has sole authority over Allseas. Edward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 We have a strategic relationship with Allseas in connection with the development of our collection systems.</w:t>
      </w:r>
    </w:p>
    <w:p>
      <w:pPr>
        <w:spacing w:after="0" w:line="2"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14,639,239 Common Shares, (ii) 4,078,044 Common Shares that are issuable upon exercise of options that are exercisable within 60 days of August 31, 2022, and (iii) 89,394 Common Shares underlying warrants. Does not include (i) up to 781,250 restricted stock units, each representing the right to receive one Common Share upon vesting, which vest in three equal annual installments beginning on November 22, 2022 and ending on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51,955,976 Common Shares and (ii) 1,414,716 Common Shares issuable upon exercise of warrants owned by ERAS Capital LLC (“ERAS”). Andrei Karkar has voting and dispositive control over the securities held by ERAS and therefore Mr. Karkar may be deemed to have beneficial ownership of the shares held by ERAS. The business address of such holder is 323 Marina Blvd, San Francisco, CA 94123-1213.</w:t>
      </w:r>
    </w:p>
    <w:p>
      <w:pPr>
        <w:spacing w:after="0" w:line="1" w:lineRule="exact"/>
        <w:rPr>
          <w:rFonts w:ascii="Times New Roman" w:cs="Times New Roman" w:eastAsia="Times New Roman" w:hAnsi="Times New Roman"/>
          <w:sz w:val="18"/>
          <w:szCs w:val="18"/>
          <w:color w:val="auto"/>
        </w:rPr>
      </w:pPr>
    </w:p>
    <w:p>
      <w:pPr>
        <w:jc w:val="both"/>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Mathew Van Alstyne may be deemed to have voting and investment power over the shares held by Odeon Capital Group LLC. The business address of such holder is 750 Lexington Avenue, 27th Floor, NY, NY 10022. The Common Shares being offered were issued by us in connection with advisory services rendered to us related to the issuance of the Common Shares pursuant to the Purchaser Agreement.</w:t>
      </w:r>
    </w:p>
    <w:p>
      <w:pPr>
        <w:spacing w:after="0" w:line="1" w:lineRule="exact"/>
        <w:rPr>
          <w:rFonts w:ascii="Times New Roman" w:cs="Times New Roman" w:eastAsia="Times New Roman" w:hAnsi="Times New Roman"/>
          <w:sz w:val="18"/>
          <w:szCs w:val="18"/>
          <w:color w:val="auto"/>
        </w:rPr>
      </w:pPr>
    </w:p>
    <w:p>
      <w:pPr>
        <w:ind w:left="448"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785 Fifth Avenue, Apt. 11-C, New York, NY 10022. The Common Shares being offered were issued by us in connection with advisory services rendered to us related to the issuance of the Common Shares pursuant to the Purchaser Agreement.</w:t>
      </w:r>
    </w:p>
    <w:p>
      <w:pPr>
        <w:ind w:left="448" w:right="20" w:hanging="448"/>
        <w:spacing w:after="0" w:line="25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54 Morton Street, Apt 4F, New York, NY 10014. The Common Shares being offered were issued by us in connection with advisory services rendered to us related to the issuance of the Common Shares pursuant to the Purchaser Agreement.</w:t>
      </w:r>
    </w:p>
    <w:p>
      <w:pPr>
        <w:ind w:left="448" w:right="20" w:hanging="448"/>
        <w:spacing w:after="0" w:line="260" w:lineRule="auto"/>
        <w:tabs>
          <w:tab w:leader="none" w:pos="4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such holder is 3600 North Lake Blvd, #186, Tahoe City, CA 96145. The Common Shares being offered were issued by us in connection with advisory services rendered to us related to the issuance of the Common Shares pursuant to the Purchaser Agreement.</w:t>
      </w:r>
    </w:p>
    <w:p>
      <w:pPr>
        <w:spacing w:after="0" w:line="39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8"/>
          </w:cols>
          <w:pgMar w:left="332" w:top="93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or the selling shareholders may offer securities under this prospectus from time to time pursuant to underwritten public offerings, negotiated transactions, block trades or a combination of these methods or any of the following:</w:t>
      </w:r>
    </w:p>
    <w:p>
      <w:pPr>
        <w:spacing w:after="0" w:line="162" w:lineRule="exact"/>
        <w:rPr>
          <w:sz w:val="20"/>
          <w:szCs w:val="20"/>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7" w:lineRule="exact"/>
        <w:rPr>
          <w:rFonts w:ascii="Times New Roman" w:cs="Times New Roman" w:eastAsia="Times New Roman" w:hAnsi="Times New Roman"/>
          <w:sz w:val="18"/>
          <w:szCs w:val="18"/>
          <w:color w:val="auto"/>
        </w:rPr>
      </w:pPr>
    </w:p>
    <w:p>
      <w:pPr>
        <w:ind w:left="1300" w:right="20" w:hanging="64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such shares at a stipulated price per share;</w:t>
      </w:r>
    </w:p>
    <w:p>
      <w:pPr>
        <w:spacing w:after="0" w:line="9" w:lineRule="exact"/>
        <w:rPr>
          <w:rFonts w:ascii="Times New Roman" w:cs="Times New Roman" w:eastAsia="Times New Roman" w:hAnsi="Times New Roman"/>
          <w:sz w:val="18"/>
          <w:szCs w:val="18"/>
          <w:color w:val="auto"/>
        </w:rPr>
      </w:pPr>
    </w:p>
    <w:p>
      <w:pPr>
        <w:ind w:left="1300" w:right="20" w:hanging="64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the selling shareholders may sell the securities (1) through underwriters or dealers, (2) through agents or (3) directly to one or more purchasers, or through a combination of such methods. We or the selling shareholders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spacing w:after="0" w:line="180" w:lineRule="exact"/>
        <w:rPr>
          <w:sz w:val="20"/>
          <w:szCs w:val="20"/>
          <w:color w:val="auto"/>
        </w:rPr>
      </w:pPr>
    </w:p>
    <w:p>
      <w:pPr>
        <w:ind w:left="1300" w:hanging="64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1300" w:hanging="64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the selling shareholders utilize a dealer in the sale of the securities being offered by this prospectus, we or the selling shareholders, as applicable, will sell the securities to the dealer, as principal. The dealer may then resell the securities to the public at varying prices to be determined by the dealer at the time of resale.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or the selling shareholders,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securities may enter into agreements to indemnify underwriters, dealers and agents against civil liabilities, including liabilities under the Securities Act, or to contribute to payments they may be required to make in respect thereof. To the extent required by the Purchase Agreements, we have agreed to indemnify certain of the selling shareholders against liabilities, including liabilities under the Securities Act and state securities laws, relating to the registration of certain of the shares offered by this prospectus.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if required, we or the selling shareholders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130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jc w:val="both"/>
        <w:ind w:left="1300" w:hanging="644"/>
        <w:spacing w:after="0" w:line="255"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selling shareholders and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 Selling shareholders who are “underwriters” within the meaning of Section 2(a)(11) of the Securities Act will be subject to the prospectus delivery requirements of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shareholders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broker-dealers to participate in sales. If the selling shareholders effect such transactions by selling Common Shares to or through underwriters, broker-dealers or agents, such underwriters, broker-dealers or agents may receive commissions in the form of discounts, concessions or commissions from the selling shareholders or commissions from purchasers of the Common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5110.</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sales of the Common Shares or otherwise, the selling shareholders may enter into hedging transactions with broker-dealers or other financial institutions, which may in turn engage in short sales of the Common Shares in the course of hedging in positions they assume. The selling shareholders may also sell Common Shares short and if such short sale shall take place after the effective date of this registration statement, the selling shareholders may deliver Common Shares covered by this prospectus to close out short positions and to return borrowed shares in connection with such short sales. The selling shareholders may also loan or pledge Common Shares to broker-dealers that in turn may sell 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if required). Notwithstanding the foregoing, the selling shareholders have been advised that they may not use shares registered on this registration statement to cover short sales of Common Shares made prior to the effective date of the registration statement, of which this prospectus forms a part.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Common Shares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selling shareholder has informed the Company that it is not a registered broker-dealer and does not have any written or oral agreement or understanding, directly or indirectly, with any person to distribute the Common Shares. Upon the Company being notified in writing by a selling shareholders that any material arrangement has been entered into with a broker-dealer for the sale of Common Shares through a block trade, special offering, exchange distribution or secondary distribution or a purchase by a broker or dealer, a supplement to this prospectus will be filed, if required, pursuant to Rule 424(b) under the Securities Act, disclosing (i) the name of each such selling shareholders and of the participating broker-dealer(s), (ii) the number of shares involved, (iii) the price at which such the Common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shareholders will sell any or all of the Common Shares registered pursuant to the shelf registration statement, of which this prospectus forms a part.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selling shareholder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Common Shares by the selling shareholders and any other participating person. Regulation M may also restrict the ability of any person engaged in the distribution of the Common Shares to engage in market-making activities with respect to the Common Shares. All of the foregoing may affect the marketability of the Common Shares and the ability of any person or entity to engage in market-making activities with respect to the Common Shares.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all expenses of the registration of the Common Shares pursuant to the Purchase Agreements, including, without limitation, SEC filing fees and expenses of compliance with state securities or “blue sky” laws; provided, however, that each selling shareholder will pay all underwriting discounts and selling commissions, if any. We will indemnify the selling shareholders against certain liabilities, including some liabilities under the Securities Act, in accordance with the Purchase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in accordance with the Purchase Agreements, or we may be entitled to contribution.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 AND SPECIAL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consists of (a) an unlimited number of Common Shares, (b) an unlimited number of preferred shares, issuable in series,</w:t>
      </w:r>
    </w:p>
    <w:p>
      <w:pPr>
        <w:spacing w:after="0" w:line="27" w:lineRule="exact"/>
        <w:rPr>
          <w:sz w:val="20"/>
          <w:szCs w:val="20"/>
          <w:color w:val="auto"/>
        </w:rPr>
      </w:pPr>
    </w:p>
    <w:p>
      <w:pPr>
        <w:jc w:val="both"/>
        <w:ind w:firstLine="8"/>
        <w:spacing w:after="0" w:line="255"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were 265,529,989 Common Shares issued and outstanding. As of September 30, 2022, we had approximately 125 record holders of our Common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(British Columbia), or the BCBCA, and prior rights of the holders of preferred shares and any other class ranking senior to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Shares is Continental Stock Transfer &amp;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listed for trading on the Nasdaq Global Select Market under the symbol “TMC”.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there were issued and outstanding (a) 4,999,973 Class A Special Shares, (b) 9,999,853 Class B Special Shares, (c) 9,999,853 Class C Special Shares, (d) 19,999,855 Class D Special Shares, (e) 19,999,855 Class E Special Shares, (f) 19,999,855 Class F Special Shares,</w:t>
      </w: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24,999,860 Class G Special Shares, (h) 24,999,860 Class H Special Shares, (i) 500,000 Class I Special Shares and (j) 741,000 Class J Special Shares.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(unless adjusted as described below) upon the occurrence of the following events:</w:t>
      </w:r>
    </w:p>
    <w:p>
      <w:pPr>
        <w:spacing w:after="0" w:line="162" w:lineRule="exact"/>
        <w:rPr>
          <w:sz w:val="20"/>
          <w:szCs w:val="20"/>
          <w:color w:val="auto"/>
        </w:rPr>
      </w:pP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preferred shares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a series of 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or Exchange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or Sale; No Protection in Event of a Change of Control or Highly Leveraged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jc w:val="both"/>
        <w:ind w:left="660" w:hanging="328"/>
        <w:spacing w:after="0" w:line="253"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of debt securities of the series;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Concerning the Debenture Trustee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and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 of Subordinated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common shares and the number of our common shares to be received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preferred shares, the number of preferred shares to be received upon exercise, and a description of that series of our preferred shares;</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shares, preferred shares and/or debt securities will be separately transferable;</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warrants;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warrants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2022,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w:t>
      </w:r>
    </w:p>
    <w:p>
      <w:pPr>
        <w:spacing w:after="0" w:line="5" w:lineRule="exact"/>
        <w:rPr>
          <w:sz w:val="20"/>
          <w:szCs w:val="20"/>
          <w:color w:val="auto"/>
        </w:rPr>
      </w:pPr>
    </w:p>
    <w:p>
      <w:pPr>
        <w:jc w:val="both"/>
        <w:ind w:firstLine="8"/>
        <w:spacing w:after="0" w:line="250" w:lineRule="auto"/>
        <w:tabs>
          <w:tab w:leader="none" w:pos="2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w:t>
      </w:r>
    </w:p>
    <w:p>
      <w:pPr>
        <w:jc w:val="both"/>
        <w:ind w:firstLine="8"/>
        <w:spacing w:after="0" w:line="252" w:lineRule="auto"/>
        <w:tabs>
          <w:tab w:leader="none" w:pos="2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Warrant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is Continental Stock Transfer &amp; Trust Company.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listed for trading on the Nasdaq Global Select Market under the symbol “TMCWW”.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2022,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Allseas Warrant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2021, DeepGreen issued a warrant to Allseas Group S.A., or the Allseas Warrant, which shall vest upon successful completion of a prescribed project, referred to as the PMTS, and become exercisable for a maximum of 11,578,620 Common Shares (as it may be adjusted based on the formula described therein) at a purchase price of $0.01 per share. A maximum of 11.6 million warrants to purchase common shares will vest if the PMTS is completed by September 30, 2023, gradually decreasing to 5.8 million warrants to purchase Common Shares if PMTS is completed after September 30, 2025. The Allseas Warrant shall vest only upon (and not before) the successful completion of PMTS and will expire on September 30, 2026.</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unit agreement;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OF ARTICLES AND ARTICLES AND THE BCBCA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articles and articles do not contain stated objects or purposes and do not place any limitations on the business that we may carry 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w:t>
      </w:r>
    </w:p>
    <w:p>
      <w:pPr>
        <w:spacing w:after="0" w:line="6" w:lineRule="exact"/>
        <w:rPr>
          <w:sz w:val="20"/>
          <w:szCs w:val="20"/>
          <w:color w:val="auto"/>
        </w:rPr>
      </w:pPr>
    </w:p>
    <w:p>
      <w:pPr>
        <w:jc w:val="both"/>
        <w:ind w:firstLine="8"/>
        <w:spacing w:after="0" w:line="255" w:lineRule="auto"/>
        <w:tabs>
          <w:tab w:leader="none" w:pos="3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Number of shares required to be owned by a director. Our Articles do not and the BCBCA does not provide that a director is required to hold any of Common Shares as a qualification for holding his or her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of articles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CAD$1.711 billion. For most other investors who are not state-owned enterprises the threshold is currently CAD$1.141 billion for 2022.</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pre-or post-closing basis.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Certain transactions relating to Common Shares will generally be exempt from the Investment Canada Act, subject to the federal government’s prerogative to conduct a national-security review, including:</w:t>
      </w:r>
    </w:p>
    <w:p>
      <w:pPr>
        <w:spacing w:after="0" w:line="16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ind w:left="980" w:right="20" w:hanging="324"/>
        <w:spacing w:after="0" w:line="26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97" w:lineRule="exact"/>
        <w:rPr>
          <w:sz w:val="20"/>
          <w:szCs w:val="20"/>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7" w:lineRule="exact"/>
        <w:rPr>
          <w:rFonts w:ascii="Times New Roman" w:cs="Times New Roman" w:eastAsia="Times New Roman" w:hAnsi="Times New Roman"/>
          <w:sz w:val="18"/>
          <w:szCs w:val="18"/>
          <w:color w:val="auto"/>
        </w:rPr>
      </w:pPr>
    </w:p>
    <w:p>
      <w:pPr>
        <w:ind w:left="720" w:hanging="334"/>
        <w:spacing w:after="0" w:line="182" w:lineRule="auto"/>
        <w:tabs>
          <w:tab w:leader="none" w:pos="72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investors that hold our Common Shares or public warrants as part of a “straddle,” “hedge,” “conversion,” “synthetic security,” “constructive ownership transaction,” “constructive sale” or other integrated transaction for U.S. federal income tax purposes;</w:t>
      </w: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3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7" w:lineRule="exact"/>
        <w:rPr>
          <w:rFonts w:ascii="Times New Roman" w:cs="Times New Roman" w:eastAsia="Times New Roman" w:hAnsi="Times New Roman"/>
          <w:sz w:val="18"/>
          <w:szCs w:val="18"/>
          <w:color w:val="auto"/>
        </w:rPr>
      </w:pPr>
    </w:p>
    <w:p>
      <w:pPr>
        <w:ind w:left="720" w:hanging="334"/>
        <w:spacing w:after="0" w:line="182" w:lineRule="auto"/>
        <w:tabs>
          <w:tab w:leader="none" w:pos="72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U.S. Holders owning or considered as owning (directly, indirectly, or through attribution) 5% (measured by vote or value) or more of our Common Shares;</w:t>
      </w:r>
    </w:p>
    <w:p>
      <w:pPr>
        <w:ind w:left="720" w:hanging="334"/>
        <w:spacing w:after="0" w:line="180" w:lineRule="auto"/>
        <w:tabs>
          <w:tab w:leader="none" w:pos="720" w:val="left"/>
        </w:tabs>
        <w:numPr>
          <w:ilvl w:val="0"/>
          <w:numId w:val="3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persons that acquired our Common Shares or public warrants pursuant to an exercise of employee share options, in connection with employee share incentive plans or otherwise as compensation as compensation;</w:t>
      </w: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3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7"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(except to the limited extent provided herein); and</w:t>
      </w:r>
    </w:p>
    <w:p>
      <w:pPr>
        <w:spacing w:after="0" w:line="22"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239" w:lineRule="exact"/>
        <w:rPr>
          <w:sz w:val="20"/>
          <w:szCs w:val="20"/>
          <w:color w:val="auto"/>
        </w:rPr>
      </w:pPr>
    </w:p>
    <w:p>
      <w:pPr>
        <w:ind w:left="720" w:hanging="33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7" w:lineRule="exact"/>
        <w:rPr>
          <w:rFonts w:ascii="Times New Roman" w:cs="Times New Roman" w:eastAsia="Times New Roman" w:hAnsi="Times New Roman"/>
          <w:sz w:val="18"/>
          <w:szCs w:val="18"/>
          <w:color w:val="auto"/>
        </w:rPr>
      </w:pPr>
    </w:p>
    <w:p>
      <w:pPr>
        <w:ind w:left="720" w:right="20" w:hanging="334"/>
        <w:spacing w:after="0" w:line="182" w:lineRule="auto"/>
        <w:tabs>
          <w:tab w:leader="none" w:pos="720" w:val="left"/>
        </w:tabs>
        <w:numPr>
          <w:ilvl w:val="0"/>
          <w:numId w:val="3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 corporation (including an entity treated as a corporation for U.S. federal income tax purposes) created or organized in or under the laws of the United States, any state thereof or the District of Columbia;</w:t>
      </w:r>
    </w:p>
    <w:p>
      <w:pPr>
        <w:ind w:left="720" w:hanging="33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w:t>
      </w:r>
    </w:p>
    <w:p>
      <w:pPr>
        <w:spacing w:after="0" w:line="22" w:lineRule="exact"/>
        <w:rPr>
          <w:rFonts w:ascii="Times New Roman" w:cs="Times New Roman" w:eastAsia="Times New Roman" w:hAnsi="Times New Roman"/>
          <w:sz w:val="18"/>
          <w:szCs w:val="18"/>
          <w:color w:val="auto"/>
        </w:rPr>
      </w:pPr>
    </w:p>
    <w:p>
      <w:pPr>
        <w:ind w:left="720" w:hanging="334"/>
        <w:spacing w:after="0" w:line="260"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 of the Code) who have the authority to control all substantial decisions of the trust or (B) that has in effect a valid election under applicable Treasury Regulations to be treated as a U.S.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w:t>
      </w:r>
      <w:r>
        <w:rPr>
          <w:rFonts w:ascii="Times New Roman" w:cs="Times New Roman" w:eastAsia="Times New Roman" w:hAnsi="Times New Roman"/>
          <w:sz w:val="18"/>
          <w:szCs w:val="18"/>
          <w:color w:val="auto"/>
        </w:rPr>
        <w:t>” The amount of any such distribution will include any amounts withheld by us (or another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 w:cs="Times New Roman" w:eastAsia="Times New Roman" w:hAnsi="Times New Roman"/>
          <w:sz w:val="18"/>
          <w:szCs w:val="18"/>
          <w:i w:val="1"/>
          <w:iCs w:val="1"/>
          <w:color w:val="auto"/>
        </w:rPr>
        <w:t>- Tax Consequences of Ownership and Disposition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and Public Warrants - Exercise or Lapse of a Public Warrant</w:t>
      </w:r>
      <w:r>
        <w:rPr>
          <w:rFonts w:ascii="Times New Roman" w:cs="Times New Roman" w:eastAsia="Times New Roman" w:hAnsi="Times New Roman"/>
          <w:sz w:val="18"/>
          <w:szCs w:val="18"/>
          <w:color w:val="auto"/>
        </w:rPr>
        <w:t>”). Any such gain or loss generally will be capital gain or loss and will be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Times New Roman" w:cs="Times New Roman" w:eastAsia="Times New Roman" w:hAnsi="Times New Roman"/>
          <w:sz w:val="18"/>
          <w:szCs w:val="18"/>
          <w:i w:val="1"/>
          <w:iCs w:val="1"/>
          <w:color w:val="auto"/>
        </w:rPr>
        <w:t>Tax Consequences of Ownership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 - Sale, Taxable Exchange or Other Taxable Disposition of Common Shares and Public Warrants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Dividends and Other Distributions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Common Shares</w:t>
      </w:r>
      <w:r>
        <w:rPr>
          <w:rFonts w:ascii="Times New Roman" w:cs="Times New Roman" w:eastAsia="Times New Roman" w:hAnsi="Times New Roman"/>
          <w:sz w:val="18"/>
          <w:szCs w:val="18"/>
          <w:color w:val="auto"/>
        </w:rPr>
        <w:t>”). The rules governing constructive distributions as a result of certain adjustments with respect to a public warrant are complex,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are urged to consult their tax advisors on the tax consequences any such constructive distribution with respect to a public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the Company is treated as a PFIC for U.S. federal income tax purposes.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initial assessment, we do not believe that the Company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39" w:lineRule="exact"/>
        <w:rPr>
          <w:sz w:val="20"/>
          <w:szCs w:val="20"/>
          <w:color w:val="auto"/>
        </w:rPr>
      </w:pP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w:t>
      </w:r>
    </w:p>
    <w:p>
      <w:pPr>
        <w:spacing w:after="0" w:line="22" w:lineRule="exact"/>
        <w:rPr>
          <w:rFonts w:ascii="Times New Roman" w:cs="Times New Roman" w:eastAsia="Times New Roman" w:hAnsi="Times New Roman"/>
          <w:sz w:val="18"/>
          <w:szCs w:val="18"/>
          <w:color w:val="auto"/>
        </w:rPr>
      </w:pPr>
    </w:p>
    <w:p>
      <w:pPr>
        <w:ind w:left="720" w:right="20" w:hanging="334"/>
        <w:spacing w:after="0" w:line="26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in the U.S. Holder’s holding period before the first day of the Company’s first taxable year in which the Company is a PFIC, will be taxed as ordinary income;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ind w:left="720" w:hanging="334"/>
        <w:spacing w:after="0" w:line="184" w:lineRule="auto"/>
        <w:tabs>
          <w:tab w:leader="none" w:pos="720" w:val="left"/>
        </w:tabs>
        <w:numPr>
          <w:ilvl w:val="0"/>
          <w:numId w:val="3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amount allocated to other taxable years (or portions thereof) of the U.S. Holder and included in its holding period will be taxed at the highest tax rate in effect for that year and applicable to the U.S. Holder; and</w:t>
      </w:r>
    </w:p>
    <w:p>
      <w:pPr>
        <w:ind w:left="720" w:hanging="334"/>
        <w:spacing w:after="0" w:line="180" w:lineRule="auto"/>
        <w:tabs>
          <w:tab w:leader="none" w:pos="720" w:val="left"/>
        </w:tabs>
        <w:numPr>
          <w:ilvl w:val="0"/>
          <w:numId w:val="3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an additional tax equal to the interest charge generally applicable to underpayments of tax will be imposed on the U.S. Holder with respect to the tax attributable to each such other taxable year of the U.S. Holder.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a summary of the principal Canadian federal income tax considerations pursuant to the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and the regulations thereunder, (the “Tax Act”) that generally apply to the acquisition, holding or disposition of Common Shares and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by a person who is neither resident nor deemed to be resident in Canada for purposes of the Tax Act and acquires a beneficial interest in Common Shares or public warrants, (a “Non-Resident Holder”).</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39" w:lineRule="exact"/>
        <w:rPr>
          <w:sz w:val="20"/>
          <w:szCs w:val="20"/>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or public warrants as capital property;</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36"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 the Non-Resident Holder, (b) persons with whom the Non-Resident Holder does not deal with at arm’s length, (c) partnerships in which the</w:t>
      </w:r>
    </w:p>
    <w:p>
      <w:pPr>
        <w:spacing w:after="0" w:line="27" w:lineRule="exact"/>
        <w:rPr>
          <w:sz w:val="20"/>
          <w:szCs w:val="20"/>
          <w:color w:val="auto"/>
        </w:rPr>
      </w:pPr>
    </w:p>
    <w:p>
      <w:pPr>
        <w:ind w:left="840" w:hanging="400"/>
        <w:spacing w:after="0" w:line="250"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Holder or a person described in (b) holds an interest directly or indirectly through one or more partnerships, or (d) any combination of (a) to (c), owned 25% or more of the issued shares of any class or series of our capital stock; and</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w:t>
      </w:r>
    </w:p>
    <w:p>
      <w:pPr>
        <w:spacing w:after="0" w:line="9" w:lineRule="exact"/>
        <w:rPr>
          <w:rFonts w:ascii="Times New Roman" w:cs="Times New Roman" w:eastAsia="Times New Roman" w:hAnsi="Times New Roman"/>
          <w:sz w:val="18"/>
          <w:szCs w:val="18"/>
          <w:color w:val="auto"/>
        </w:rPr>
      </w:pPr>
    </w:p>
    <w:p>
      <w:pPr>
        <w:jc w:val="both"/>
        <w:ind w:left="840" w:right="20" w:hanging="400"/>
        <w:spacing w:after="0" w:line="187" w:lineRule="auto"/>
        <w:tabs>
          <w:tab w:leader="none" w:pos="840" w:val="left"/>
        </w:tabs>
        <w:numPr>
          <w:ilvl w:val="0"/>
          <w:numId w:val="3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TMC the metals company Inc. as of December 31, 2021 and 2020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u w:val="single" w:color="auto"/>
          <w:color w:val="0000EE"/>
        </w:rPr>
      </w:pPr>
      <w:hyperlink r:id="rId58">
        <w:r>
          <w:rPr>
            <w:rFonts w:ascii="Times New Roman" w:cs="Times New Roman" w:eastAsia="Times New Roman" w:hAnsi="Times New Roman"/>
            <w:sz w:val="18"/>
            <w:szCs w:val="18"/>
            <w:u w:val="single" w:color="auto"/>
            <w:color w:val="0000EE"/>
          </w:rPr>
          <w:t>our Annual Report on Form 10-K for the fiscal year ended December 31, 2021 that we filed with the SEC on March 25, 2022;</w:t>
        </w:r>
      </w:hyperlink>
    </w:p>
    <w:p>
      <w:pPr>
        <w:spacing w:after="0" w:line="27" w:lineRule="exact"/>
        <w:rPr>
          <w:rFonts w:ascii="Times New Roman" w:cs="Times New Roman" w:eastAsia="Times New Roman" w:hAnsi="Times New Roman"/>
          <w:sz w:val="18"/>
          <w:szCs w:val="18"/>
          <w:u w:val="single" w:color="auto"/>
          <w:color w:val="0000EE"/>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2022 and June 30, 2022 that we filed with the SEC on </w:t>
      </w:r>
      <w:hyperlink r:id="rId59">
        <w:r>
          <w:rPr>
            <w:rFonts w:ascii="Times New Roman" w:cs="Times New Roman" w:eastAsia="Times New Roman" w:hAnsi="Times New Roman"/>
            <w:sz w:val="18"/>
            <w:szCs w:val="18"/>
            <w:u w:val="single" w:color="auto"/>
            <w:color w:val="0000EE"/>
          </w:rPr>
          <w:t>May 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0">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000000"/>
        </w:rPr>
        <w:t>;</w:t>
      </w:r>
    </w:p>
    <w:p>
      <w:pPr>
        <w:jc w:val="both"/>
        <w:ind w:left="660" w:hanging="328"/>
        <w:spacing w:after="0" w:line="255" w:lineRule="auto"/>
        <w:tabs>
          <w:tab w:leader="none" w:pos="660" w:val="left"/>
        </w:tabs>
        <w:numPr>
          <w:ilvl w:val="0"/>
          <w:numId w:val="3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and amendments thereto that we filed with the SEC on </w:t>
      </w:r>
      <w:hyperlink r:id="rId61">
        <w:r>
          <w:rPr>
            <w:rFonts w:ascii="Times New Roman" w:cs="Times New Roman" w:eastAsia="Times New Roman" w:hAnsi="Times New Roman"/>
            <w:sz w:val="18"/>
            <w:szCs w:val="18"/>
            <w:u w:val="single" w:color="auto"/>
            <w:color w:val="0000EE"/>
          </w:rPr>
          <w:t>February 10, 2022</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March 17, 2022</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June 2, 2022</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5">
        <w:r>
          <w:rPr>
            <w:rFonts w:ascii="Times New Roman" w:cs="Times New Roman" w:eastAsia="Times New Roman" w:hAnsi="Times New Roman"/>
            <w:sz w:val="18"/>
            <w:szCs w:val="18"/>
            <w:u w:val="single" w:color="auto"/>
            <w:color w:val="0000EE"/>
          </w:rPr>
          <w:t xml:space="preserve">October 3,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 xml:space="preserve">October 12, 2022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any portion of such filings that are furnished under applicable SEC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rules rather than filed);</w:t>
      </w:r>
    </w:p>
    <w:p>
      <w:pPr>
        <w:spacing w:after="0" w:line="186" w:lineRule="exact"/>
        <w:rPr>
          <w:rFonts w:ascii="Times New Roman" w:cs="Times New Roman" w:eastAsia="Times New Roman" w:hAnsi="Times New Roman"/>
          <w:sz w:val="18"/>
          <w:szCs w:val="18"/>
          <w:color w:val="0000EE"/>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660" w:hanging="328"/>
        <w:spacing w:after="0" w:line="261" w:lineRule="auto"/>
        <w:tabs>
          <w:tab w:leader="none" w:pos="660" w:val="left"/>
        </w:tabs>
        <w:numPr>
          <w:ilvl w:val="0"/>
          <w:numId w:val="38"/>
        </w:numPr>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the description of our Common Shares contained in our Registration Statement on Form 8-A filed with the SEC on September 10, 2021, including</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any amendment or report filed for the purpose of updating such description; and</w:t>
        </w:r>
      </w:hyperlink>
    </w:p>
    <w:p>
      <w:pPr>
        <w:jc w:val="both"/>
        <w:ind w:left="660" w:hanging="328"/>
        <w:spacing w:after="0" w:line="253"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8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001-39281.</w:t>
      </w:r>
    </w:p>
    <w:p>
      <w:pPr>
        <w:spacing w:after="0" w:line="225"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request, orally or in writing, a copy of any or all of the documents incorporated herein by reference. These documents will be provided to you at no cost, by contacting:</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595 Howe Street, 10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V6C 2T5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(574) 252-9333</w:t>
      </w:r>
    </w:p>
    <w:p>
      <w:pPr>
        <w:spacing w:after="0" w:line="205" w:lineRule="exact"/>
        <w:rPr>
          <w:rFonts w:ascii="Times New Roman" w:cs="Times New Roman" w:eastAsia="Times New Roman" w:hAnsi="Times New Roman"/>
          <w:sz w:val="18"/>
          <w:szCs w:val="18"/>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these documents on our website, </w:t>
      </w:r>
      <w:r>
        <w:rPr>
          <w:rFonts w:ascii="Times New Roman" w:cs="Times New Roman" w:eastAsia="Times New Roman" w:hAnsi="Times New Roman"/>
          <w:sz w:val="18"/>
          <w:szCs w:val="18"/>
          <w:i w:val="1"/>
          <w:iCs w:val="1"/>
          <w:color w:val="auto"/>
        </w:rPr>
        <w:t>www.metals.co</w:t>
      </w:r>
      <w:r>
        <w:rPr>
          <w:rFonts w:ascii="Times New Roman" w:cs="Times New Roman" w:eastAsia="Times New Roman" w:hAnsi="Times New Roman"/>
          <w:sz w:val="18"/>
          <w:szCs w:val="18"/>
          <w:color w:val="auto"/>
        </w:rPr>
        <w:t>. The information contained on, or that can be accessed through, our website is not a part of this prospectus. We have included our website address in this prospectus solely as an inactive textual reference.</w:t>
      </w:r>
    </w:p>
    <w:p>
      <w:pPr>
        <w:spacing w:after="0" w:line="16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396"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586105</wp:posOffset>
            </wp:positionV>
            <wp:extent cx="1911350" cy="643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43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ectPr>
          <w:pgSz w:w="11900" w:h="16838" w:orient="portrait"/>
          <w:cols w:equalWidth="0" w:num="1">
            <w:col w:w="9019"/>
          </w:cols>
          <w:pgMar w:left="1440" w:top="1440"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$100 MILLION OF</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SHARES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9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22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5"/>
          <w:szCs w:val="25"/>
          <w:b w:val="1"/>
          <w:bCs w:val="1"/>
          <w:color w:val="auto"/>
        </w:rPr>
        <w:t>38,266,180 COMMON SHARES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SELLING SHAREHOLDERS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lowerRoman"/>
      <w:start w:val="3"/>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2)"/>
      <w:numFmt w:val="decimal"/>
      <w:start w:val="1"/>
    </w:lvl>
  </w:abstractNum>
  <w:abstractNum w:abstractNumId="5">
    <w:nsid w:val="721DA317"/>
    <w:multiLevelType w:val="hybridMultilevel"/>
    <w:lvl w:ilvl="0">
      <w:lvlJc w:val="left"/>
      <w:lvlText w:val="(%1)"/>
      <w:numFmt w:val="decimal"/>
      <w:start w:val="6"/>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Letter"/>
      <w:start w:val="3"/>
    </w:lvl>
  </w:abstractNum>
  <w:abstractNum w:abstractNumId="10">
    <w:nsid w:val="8EDBDAB"/>
    <w:multiLevelType w:val="hybridMultilevel"/>
    <w:lvl w:ilvl="0">
      <w:lvlJc w:val="left"/>
      <w:lvlText w:val="(%1)"/>
      <w:numFmt w:val="lowerLetter"/>
      <w:start w:val="7"/>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lowerRoman"/>
      <w:start w:val="2"/>
    </w:lvl>
  </w:abstractNum>
  <w:abstractNum w:abstractNumId="25">
    <w:nsid w:val="6CEAF087"/>
    <w:multiLevelType w:val="hybridMultilevel"/>
    <w:lvl w:ilvl="0">
      <w:lvlJc w:val="left"/>
      <w:lvlText w:val="(%1)"/>
      <w:numFmt w:val="lowerRoman"/>
      <w:start w:val="2"/>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Roman"/>
      <w:start w:val="4"/>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7"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jpeg"/><Relationship Id="rId71" Type="http://schemas.openxmlformats.org/officeDocument/2006/relationships/image" Target="media/image54.png"/><Relationship Id="rId58" Type="http://schemas.openxmlformats.org/officeDocument/2006/relationships/hyperlink" Target="https://www.sec.gov/Archives/edgar/data/1798562/000110465922038029/tmc-20211231x10k.htm" TargetMode="External"/><Relationship Id="rId59" Type="http://schemas.openxmlformats.org/officeDocument/2006/relationships/hyperlink" Target="https://www.sec.gov/Archives/edgar/data/1798562/000110465922057493/tmc-20220331x10q.htm" TargetMode="External"/><Relationship Id="rId60" Type="http://schemas.openxmlformats.org/officeDocument/2006/relationships/hyperlink" Target="https://www.sec.gov/Archives/edgar/data/1798562/000110465922091250/tmc-20220630x10q.htm" TargetMode="External"/><Relationship Id="rId61" Type="http://schemas.openxmlformats.org/officeDocument/2006/relationships/hyperlink" Target="https://www.sec.gov/Archives/edgar/data/1798562/000110465922018674/tm226092d1_8k.htm" TargetMode="External"/><Relationship Id="rId62" Type="http://schemas.openxmlformats.org/officeDocument/2006/relationships/hyperlink" Target="https://www.sec.gov/Archives/edgar/data/1798562/000110465922034803/tm229560d1_8k.htm" TargetMode="External"/><Relationship Id="rId63" Type="http://schemas.openxmlformats.org/officeDocument/2006/relationships/hyperlink" Target="https://www.sec.gov/Archives/edgar/data/1798562/000110465922067358/tm2217495d1_8k.htm" TargetMode="External"/><Relationship Id="rId64" Type="http://schemas.openxmlformats.org/officeDocument/2006/relationships/hyperlink" Target="https://www.sec.gov/ix?doc=/Archives/edgar/data/1798562/000110465922090666/tm2223376d3_8k.htm" TargetMode="External"/><Relationship Id="rId65" Type="http://schemas.openxmlformats.org/officeDocument/2006/relationships/hyperlink" Target="https://www.sec.gov/ix?doc=/Archives/edgar/data/1798562/000110465922104937/tm2227087d2_8k.htm" TargetMode="External"/><Relationship Id="rId66" Type="http://schemas.openxmlformats.org/officeDocument/2006/relationships/hyperlink" Target="https://www.sec.gov/ix?doc=/Archives/edgar/data/0001798562/000110465922107962/tm2227087d4_8k.htm" TargetMode="External"/><Relationship Id="rId68" Type="http://schemas.openxmlformats.org/officeDocument/2006/relationships/hyperlink" Target="https://www.sec.gov/Archives/edgar/data/1798562/000121390021047279/ea146988-8a12b_tmcthemetal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2022-10-17T15:11:25Z</dcterms:created>
  <dcterms:modified xsi:type="dcterms:W3CDTF">2022-10-17T15:11:25Z</dcterms:modified>
</cp:coreProperties>
</file>