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988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22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no. 5 (this “Supplement”) supplements the prospectus dated July 12, 2022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87" w:lineRule="exact"/>
        <w:rPr>
          <w:sz w:val="24"/>
          <w:szCs w:val="24"/>
          <w:color w:val="auto"/>
        </w:rPr>
      </w:pPr>
    </w:p>
    <w:p>
      <w:pPr>
        <w:ind w:right="300" w:firstLine="324"/>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207"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October 20, 2022.</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October 19, 2022, the closing price of our Common Shares was $1.01 and the closing price for our Public Warrants was $0.138.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right="8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October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2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16"/>
        </w:trPr>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incorporation)</w:t>
            </w:r>
          </w:p>
        </w:tc>
        <w:tc>
          <w:tcPr>
            <w:tcW w:w="5320" w:type="dxa"/>
            <w:vAlign w:val="bottom"/>
          </w:tcPr>
          <w:p>
            <w:pPr>
              <w:spacing w:after="0"/>
              <w:rPr>
                <w:sz w:val="20"/>
                <w:szCs w:val="20"/>
                <w:color w:val="auto"/>
              </w:rPr>
            </w:pP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5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5320" w:type="dxa"/>
            <w:vAlign w:val="bottom"/>
          </w:tcPr>
          <w:p>
            <w:pPr>
              <w:spacing w:after="0"/>
              <w:rPr>
                <w:sz w:val="19"/>
                <w:szCs w:val="19"/>
                <w:color w:val="auto"/>
              </w:rPr>
            </w:pPr>
          </w:p>
        </w:tc>
        <w:tc>
          <w:tcPr>
            <w:tcW w:w="166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V6C 2T5</w:t>
            </w: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3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offices)</w:t>
            </w:r>
          </w:p>
        </w:tc>
        <w:tc>
          <w:tcPr>
            <w:tcW w:w="5320" w:type="dxa"/>
            <w:vAlign w:val="bottom"/>
          </w:tcPr>
          <w:p>
            <w:pPr>
              <w:spacing w:after="0"/>
              <w:rPr>
                <w:sz w:val="20"/>
                <w:szCs w:val="20"/>
                <w:color w:val="auto"/>
              </w:rPr>
            </w:pP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32"/>
        </w:trPr>
        <w:tc>
          <w:tcPr>
            <w:tcW w:w="234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631-3115</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4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 w:name="page4"/>
    <w:bookmarkEnd w:id="3"/>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14, 2022, Anthony O’Sullivan notified TMC the metals company, Inc. (the “Company”) that he was resigning as the Company’s Chief Development Officer, though he will remain in the position through a twelve-month transition period.</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Grant Lindner is also expected to join the Company on or about November 14, 2022 as the Project Director for the Company’s development of its NORI contract area in the Clarion Clipperton Zone of the Pacific Ocean where the Company’s wholly-owned subsidiary, Nauru Ocean Resources Inc. (NORI), holds exclusive rights to explore for polymetallic nodules. Mr. Lindner has over 25 years of experience in the mining industry, including positions at BHP Group and Bechtel.</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October 20, 2022, the Company issued a press release announcing Mr. O’Sullivan’s resignation and the hiring of Mr. Lindner. A copy of the press release is filed as Exhibit 99.1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9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20, 2022.</w:t>
            </w: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Metals Company Hires Bechtel Veteran Grant Lindner as Project Director to Advance its NORI-D Project, as CDO Anthony O’Sullivan Prepares to Step Down</w:t>
      </w:r>
    </w:p>
    <w:p>
      <w:pPr>
        <w:spacing w:after="0" w:line="15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NORI Project Director, Grant Lindner will oversee the delivery and scaling of the Company’s first polymetallic nodule project</w:t>
      </w:r>
    </w:p>
    <w:p>
      <w:pPr>
        <w:spacing w:after="0" w:line="27"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Lindner brings deep experience in delivering resource projects with BHP and Bechtel with an exceptional track record of building safe and capital-efficient greenfield and brownfield projects</w:t>
      </w:r>
    </w:p>
    <w:p>
      <w:pPr>
        <w:ind w:left="660" w:right="58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Development Officer Anthony O’Sullivan has resigned as the Company’s Chief Development Officer (CDO) for personal and health reasons, and will remain TMC’s CDO throughout a twelve-month transition period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Oct 20, 2022 — The Metals Company (NASDAQ: TMC) (the “Company” or “TMC”), an explorer of lower-impact battery metals from seafloor polymetallic nodules, today announced that it has appointed Grant Lindner as Project Director for NORI as the Company looks to bring online its first polymetallic nodule project (NORI-D Project) to supply critical battery metals for the clean energy transition. Grant will play a key role in advancing all areas of the NORI-D Project including the submission of the Environmental Impact Assessment and exploitation application to the International Seabed Authority, and the safe delivery of offshore and onshore development plans. The Company also announced that its CDO Anthony O’Sullivan resigned as of October 14, 2022 for personal and health reasons, though he will remain in the position through a twelve-month transition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brings extensive experience in delivering complex resource projects in the construction and mining industries and has delivered over $26 billion in project value during his 25-year career at leading engineering and construction group, Bechtel, and mining major, BHP. He has held senior executive roles for large-scale mining, smelter and refinery, material handling and marine projects and has a record of building high-performing teams to ensure efficient project delivery.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Gerard Barron, CEO and Chairman of The Metals Company, commented: “First I’d like to thank Tony for his considerable contributions to the company since joining us in 2017. It has been a pleasure to have him alongside me during such an important time in the evolution of the company and the industry. I’m grateful that he will provide us a year to transition, and I am hoping to count on his expertise and counsel well into the future.”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 added: “Bringing talent like Grant into the business strengthens our ability to deliver a high-quality exploitation application for NORI-D and get our first project into production. We are fortunate to have his considerable project leadership experience to deal with the complexities and uncertainties of doing something that has never been done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Across two of its nodule contract areas in the Clarion Clipperton Zone of the Pacific Ocean, The Metals Company has identified 1.6 billion tonnes of wet nodules representing the largest undeveloped source of battery metals on the planet, with enough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nickel, cobalt, copper and manganese to electrify 280 million electric vehicles – equivalent to entire U.S. light vehicle fleet. NORI-D, the Company’s first project, is ranked by Mining.com as the largest undeveloped nickel project on the planet, with a higher nickel equivalent grade (3.2%) than any other major undeveloped nickel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 (The Metals Company) is an explorer of lower-impact battery metals from seafloor polymetallic nodules, on a dual mission:</w:t>
      </w:r>
    </w:p>
    <w:p>
      <w:pPr>
        <w:spacing w:after="0" w:line="27" w:lineRule="exact"/>
        <w:rPr>
          <w:sz w:val="20"/>
          <w:szCs w:val="20"/>
          <w:color w:val="auto"/>
        </w:rPr>
      </w:pPr>
    </w:p>
    <w:p>
      <w:pPr>
        <w:jc w:val="both"/>
        <w:ind w:firstLine="8"/>
        <w:spacing w:after="0" w:line="253"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metals for the clean energy transition with the least possible negative environmental and social impact and (2) accelerate the transition to a circular metal economy. The company through its subsidiaries holds exploration rights to three polymetallic nodule contract areas in the Clarion Clipperton Zone of the Pacific Ocean regulated by the International Seabed Authority and sponsored by the governments of Nauru, Kiribati and the Kingdom of Tonga. More information is available at www.metals.co.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Clarion Clipperton Zone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TMC’s ability to successfully enter into binding agreements with each of Epsilon Carbon and Allseas;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testing and manufacturing of equipment; risks associated with TMC’s limited operating history; the impact of the COVID-19 pandemic; risks associated with TMC’s intellectual property; and other risks and uncertainties, including those in the “Risk Factors” section in TMC’s Quarterly Report on Form 10-Q for the quarter ended September 30, 2021 filed by TMC with the SEC on November 15, 2021, and in TMC’s other future filings with the Securities and Exchange Commission.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4"/>
    </w:lvl>
  </w:abstractNum>
  <w:abstractNum w:abstractNumId="1">
    <w:nsid w:val="625558EC"/>
    <w:multiLevelType w:val="hybridMultilevel"/>
    <w:lvl w:ilvl="0">
      <w:lvlJc w:val="left"/>
      <w:lvlText w:val="(%1)"/>
      <w:numFmt w:val="lowerRoman"/>
      <w:start w:val="9"/>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2022-10-20T15:57:10Z</dcterms:created>
  <dcterms:modified xsi:type="dcterms:W3CDTF">2022-10-20T15:57:10Z</dcterms:modified>
</cp:coreProperties>
</file>