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59"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8"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3730" w:right="3600" w:hanging="3730"/>
        <w:spacing w:after="0" w:line="352" w:lineRule="auto"/>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September 30, 2022</w:t>
      </w:r>
    </w:p>
    <w:p>
      <w:pPr>
        <w:jc w:val="center"/>
        <w:ind w:right="-9"/>
        <w:spacing w:after="0"/>
        <w:rPr>
          <w:sz w:val="20"/>
          <w:szCs w:val="20"/>
          <w:color w:val="auto"/>
        </w:rPr>
      </w:pPr>
      <w:r>
        <w:rPr>
          <w:rFonts w:ascii="Arial" w:cs="Arial" w:eastAsia="Arial" w:hAnsi="Arial"/>
          <w:sz w:val="13"/>
          <w:szCs w:val="13"/>
          <w:b w:val="1"/>
          <w:bCs w:val="1"/>
          <w:color w:val="auto"/>
        </w:rPr>
        <w:t>or</w:t>
      </w:r>
    </w:p>
    <w:p>
      <w:pPr>
        <w:spacing w:after="0" w:line="67"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030"/>
        <w:spacing w:after="0"/>
        <w:tabs>
          <w:tab w:leader="none" w:pos="585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-5715</wp:posOffset>
            </wp:positionV>
            <wp:extent cx="12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-5715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4"/>
          <w:szCs w:val="24"/>
          <w:color w:val="auto"/>
        </w:rPr>
      </w:pPr>
    </w:p>
    <w:p>
      <w:pPr>
        <w:ind w:left="4110"/>
        <w:spacing w:after="0"/>
        <w:rPr>
          <w:sz w:val="20"/>
          <w:szCs w:val="20"/>
          <w:color w:val="auto"/>
        </w:rPr>
      </w:pPr>
      <w:r>
        <w:rPr>
          <w:rFonts w:ascii="Arial" w:cs="Arial" w:eastAsia="Arial" w:hAnsi="Arial"/>
          <w:sz w:val="13"/>
          <w:szCs w:val="13"/>
          <w:b w:val="1"/>
          <w:bCs w:val="1"/>
          <w:color w:val="auto"/>
        </w:rPr>
        <w:t>Commission File Number: 001-39281</w:t>
      </w:r>
    </w:p>
    <w:p>
      <w:pPr>
        <w:spacing w:after="0" w:line="3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TMC THE METALS COMPANY INC.</w:t>
      </w:r>
    </w:p>
    <w:p>
      <w:pPr>
        <w:spacing w:after="0" w:line="39"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5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British Columbia, Canada</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jc w:val="center"/>
              <w:ind w:right="1508"/>
              <w:spacing w:after="0"/>
              <w:rPr>
                <w:sz w:val="20"/>
                <w:szCs w:val="20"/>
                <w:color w:val="auto"/>
              </w:rPr>
            </w:pPr>
            <w:r>
              <w:rPr>
                <w:rFonts w:ascii="Arial" w:cs="Arial" w:eastAsia="Arial" w:hAnsi="Arial"/>
                <w:sz w:val="14"/>
                <w:szCs w:val="14"/>
                <w:b w:val="1"/>
                <w:bCs w:val="1"/>
                <w:color w:val="auto"/>
                <w:w w:val="95"/>
              </w:rPr>
              <w:t>Not Applicable</w:t>
            </w: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2"/>
          </w:tcPr>
          <w:p>
            <w:pPr>
              <w:jc w:val="center"/>
              <w:ind w:right="140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40"/>
        </w:trPr>
        <w:tc>
          <w:tcPr>
            <w:tcW w:w="5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595 Howe Street, 10th Floor</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vMerge w:val="restart"/>
          </w:tcPr>
          <w:p>
            <w:pPr>
              <w:jc w:val="center"/>
              <w:ind w:right="1528"/>
              <w:spacing w:after="0"/>
              <w:rPr>
                <w:sz w:val="20"/>
                <w:szCs w:val="20"/>
                <w:color w:val="auto"/>
              </w:rPr>
            </w:pPr>
            <w:r>
              <w:rPr>
                <w:rFonts w:ascii="Arial" w:cs="Arial" w:eastAsia="Arial" w:hAnsi="Arial"/>
                <w:sz w:val="14"/>
                <w:szCs w:val="14"/>
                <w:b w:val="1"/>
                <w:bCs w:val="1"/>
                <w:color w:val="auto"/>
              </w:rPr>
              <w:t>V6C 2T5</w:t>
            </w:r>
          </w:p>
        </w:tc>
        <w:tc>
          <w:tcPr>
            <w:tcW w:w="0" w:type="dxa"/>
            <w:vAlign w:val="bottom"/>
          </w:tcPr>
          <w:p>
            <w:pPr>
              <w:spacing w:after="0"/>
              <w:rPr>
                <w:sz w:val="1"/>
                <w:szCs w:val="1"/>
                <w:color w:val="auto"/>
              </w:rPr>
            </w:pPr>
          </w:p>
        </w:tc>
      </w:tr>
      <w:tr>
        <w:trPr>
          <w:trHeight w:val="186"/>
        </w:trPr>
        <w:tc>
          <w:tcPr>
            <w:tcW w:w="5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Vancouver, British Columbia</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(Address of principal executive offices)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jc w:val="center"/>
              <w:ind w:right="15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6600" w:type="dxa"/>
            <w:vAlign w:val="bottom"/>
            <w:gridSpan w:val="3"/>
          </w:tcPr>
          <w:p>
            <w:pPr>
              <w:jc w:val="center"/>
              <w:ind w:left="3548"/>
              <w:spacing w:after="0"/>
              <w:rPr>
                <w:sz w:val="20"/>
                <w:szCs w:val="20"/>
                <w:color w:val="auto"/>
              </w:rPr>
            </w:pPr>
            <w:r>
              <w:rPr>
                <w:rFonts w:ascii="Arial" w:cs="Arial" w:eastAsia="Arial" w:hAnsi="Arial"/>
                <w:sz w:val="14"/>
                <w:szCs w:val="14"/>
                <w:b w:val="1"/>
                <w:bCs w:val="1"/>
                <w:color w:val="auto"/>
                <w:w w:val="93"/>
              </w:rPr>
              <w:t>(574) 252-9333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gridSpan w:val="4"/>
          </w:tcPr>
          <w:p>
            <w:pPr>
              <w:jc w:val="center"/>
              <w:ind w:left="3448"/>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gridSpan w:val="4"/>
          </w:tcPr>
          <w:p>
            <w:pPr>
              <w:jc w:val="center"/>
              <w:ind w:left="3448"/>
              <w:spacing w:after="0"/>
              <w:rPr>
                <w:sz w:val="20"/>
                <w:szCs w:val="20"/>
                <w:color w:val="auto"/>
              </w:rPr>
            </w:pPr>
            <w:r>
              <w:rPr>
                <w:rFonts w:ascii="Arial" w:cs="Arial" w:eastAsia="Arial" w:hAnsi="Arial"/>
                <w:sz w:val="14"/>
                <w:szCs w:val="14"/>
                <w:b w:val="1"/>
                <w:bCs w:val="1"/>
                <w:color w:val="auto"/>
                <w:w w:val="91"/>
              </w:rPr>
              <w:t>Not applicable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192"/>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305"/>
        </w:trPr>
        <w:tc>
          <w:tcPr>
            <w:tcW w:w="50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Common Shares, without par value</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TMC</w:t>
            </w:r>
          </w:p>
        </w:tc>
        <w:tc>
          <w:tcPr>
            <w:tcW w:w="1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63"/>
        </w:trPr>
        <w:tc>
          <w:tcPr>
            <w:tcW w:w="50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Redeemable warrants, each whole warrant exercisable for one Common Share, each</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TMCWW</w:t>
            </w:r>
          </w:p>
        </w:tc>
        <w:tc>
          <w:tcPr>
            <w:tcW w:w="100" w:type="dxa"/>
            <w:vAlign w:val="bottom"/>
          </w:tcPr>
          <w:p>
            <w:pPr>
              <w:spacing w:after="0"/>
              <w:rPr>
                <w:sz w:val="22"/>
                <w:szCs w:val="22"/>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at an exercise price of $11.50 per share</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10"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1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left="1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050" w:type="dxa"/>
        <w:tblCellMar>
          <w:top w:w="0" w:type="dxa"/>
          <w:left w:w="0" w:type="dxa"/>
          <w:bottom w:w="0" w:type="dxa"/>
          <w:right w:w="0" w:type="dxa"/>
        </w:tblCellMar>
      </w:tblPr>
      <w:tr>
        <w:trPr>
          <w:trHeight w:val="181"/>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308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 w:lineRule="exact"/>
        <w:rPr>
          <w:sz w:val="24"/>
          <w:szCs w:val="24"/>
          <w:color w:val="auto"/>
        </w:rPr>
      </w:pPr>
    </w:p>
    <w:p>
      <w:pPr>
        <w:ind w:left="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10" w:right="290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14, 2022, the registrant had 265,532,666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590550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33655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67945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Table of Contents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20" w:type="dxa"/>
            <w:vAlign w:val="bottom"/>
            <w:gridSpan w:val="13"/>
          </w:tcPr>
          <w:p>
            <w:pPr>
              <w:jc w:val="center"/>
              <w:ind w:right="2400"/>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20" w:type="dxa"/>
            <w:vAlign w:val="bottom"/>
            <w:gridSpan w:val="11"/>
          </w:tcPr>
          <w:p>
            <w:pPr>
              <w:jc w:val="center"/>
              <w:ind w:right="3700"/>
              <w:spacing w:after="0"/>
              <w:rPr>
                <w:sz w:val="20"/>
                <w:szCs w:val="20"/>
                <w:color w:val="auto"/>
              </w:rPr>
            </w:pPr>
            <w:r>
              <w:rPr>
                <w:rFonts w:ascii="Arial" w:cs="Arial" w:eastAsia="Arial" w:hAnsi="Arial"/>
                <w:sz w:val="18"/>
                <w:szCs w:val="18"/>
                <w:b w:val="1"/>
                <w:bCs w:val="1"/>
                <w:color w:val="auto"/>
                <w:w w:val="99"/>
              </w:rPr>
              <w:t>FORM 10-Q</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80" w:type="dxa"/>
            <w:vAlign w:val="bottom"/>
            <w:gridSpan w:val="14"/>
          </w:tcPr>
          <w:p>
            <w:pPr>
              <w:jc w:val="center"/>
              <w:ind w:right="2360"/>
              <w:spacing w:after="0"/>
              <w:rPr>
                <w:sz w:val="20"/>
                <w:szCs w:val="20"/>
                <w:color w:val="auto"/>
              </w:rPr>
            </w:pPr>
            <w:r>
              <w:rPr>
                <w:rFonts w:ascii="Arial" w:cs="Arial" w:eastAsia="Arial" w:hAnsi="Arial"/>
                <w:sz w:val="18"/>
                <w:szCs w:val="18"/>
                <w:color w:val="auto"/>
                <w:w w:val="89"/>
              </w:rPr>
              <w:t>For the quarterly period ended September 30, 2022</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gridSpan w:val="12"/>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Balance Sheets as of September 30, 2022 and December 31, 2021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Loss and Comprehensive Loss for the three and nine months</w:t>
            </w:r>
          </w:p>
        </w:tc>
        <w:tc>
          <w:tcPr>
            <w:tcW w:w="54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ended September 30, 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Changes in Equity for the three and nine months ended</w:t>
            </w:r>
          </w:p>
        </w:tc>
        <w:tc>
          <w:tcPr>
            <w:tcW w:w="94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September 30, 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8"/>
              </w:rPr>
              <w:t>Condensed Consolidated Statements of Cash Flows for the nine months ended September 30, 2022 and</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260" w:type="dxa"/>
            <w:vAlign w:val="bottom"/>
            <w:tcBorders>
              <w:top w:val="single" w:sz="8" w:color="CCEEFF"/>
            </w:tcBorders>
            <w:gridSpan w:val="14"/>
          </w:tcPr>
          <w:p>
            <w:pPr>
              <w:jc w:val="center"/>
              <w:ind w:left="3010"/>
              <w:spacing w:after="0"/>
              <w:rPr>
                <w:sz w:val="20"/>
                <w:szCs w:val="20"/>
                <w:color w:val="auto"/>
              </w:rPr>
            </w:pPr>
            <w:r>
              <w:rPr>
                <w:rFonts w:ascii="Arial" w:cs="Arial" w:eastAsia="Arial" w:hAnsi="Arial"/>
                <w:sz w:val="18"/>
                <w:szCs w:val="18"/>
                <w:color w:val="auto"/>
                <w:w w:val="79"/>
              </w:rPr>
              <w:t>2</w:t>
            </w: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 and our ability to continue as a going concern;</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recently announced private placement financing, including the timing of receipt, and amount, of expected proceeds therefrom;</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and our plans with respect thereto;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an emerging growth company, non-reporting Canadian issuer and passive foreign investment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as filed with the Securities and Exchange Commission, or SEC, on March 25, 2022 (the “2021 Annual Report on Form 10-K”), as updated and supplemented under the caption “Risk Factors” in Item 1A of Part II of our Quarterly Report on Form 10-Q for the quarter ended June 30, 2022 as filed with the SEC on August 15, 2022 as further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at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200" w:type="dxa"/>
            <w:vAlign w:val="bottom"/>
            <w:gridSpan w:val="3"/>
          </w:tcPr>
          <w:p>
            <w:pPr>
              <w:jc w:val="center"/>
              <w:ind w:right="295"/>
              <w:spacing w:after="0"/>
              <w:rPr>
                <w:sz w:val="20"/>
                <w:szCs w:val="20"/>
                <w:color w:val="auto"/>
              </w:rPr>
            </w:pPr>
            <w:r>
              <w:rPr>
                <w:rFonts w:ascii="Arial" w:cs="Arial" w:eastAsia="Arial" w:hAnsi="Arial"/>
                <w:sz w:val="14"/>
                <w:szCs w:val="14"/>
                <w:b w:val="1"/>
                <w:bCs w:val="1"/>
                <w:color w:val="auto"/>
                <w:w w:val="96"/>
              </w:rPr>
              <w:t>Note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Arial" w:cs="Arial" w:eastAsia="Arial" w:hAnsi="Arial"/>
                <w:sz w:val="18"/>
                <w:szCs w:val="18"/>
                <w:color w:val="auto"/>
              </w:rPr>
              <w:t>Cash</w:t>
            </w:r>
          </w:p>
        </w:tc>
        <w:tc>
          <w:tcPr>
            <w:tcW w:w="12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66,872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Arial" w:cs="Arial" w:eastAsia="Arial" w:hAnsi="Arial"/>
                <w:sz w:val="18"/>
                <w:szCs w:val="18"/>
                <w:color w:val="auto"/>
              </w:rPr>
              <w:t>Exploration contracts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tax liability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Warrants liability</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38,097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 xml:space="preserve">Common shares </w:t>
            </w:r>
            <w:r>
              <w:rPr>
                <w:rFonts w:ascii="Arial" w:cs="Arial" w:eastAsia="Arial" w:hAnsi="Arial"/>
                <w:sz w:val="18"/>
                <w:szCs w:val="18"/>
                <w:i w:val="1"/>
                <w:iCs w:val="1"/>
                <w:color w:val="auto"/>
                <w:w w:val="96"/>
              </w:rPr>
              <w:t>(unlimited shares, no par value – issued: 265,529,989 (December 31,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i w:val="1"/>
                <w:iCs w:val="1"/>
                <w:color w:val="auto"/>
              </w:rPr>
              <w:t>2021 – 225,432,493))</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328,911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 J Special Shares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Arial" w:cs="Arial" w:eastAsia="Arial" w:hAnsi="Arial"/>
                <w:sz w:val="18"/>
                <w:szCs w:val="18"/>
                <w:color w:val="auto"/>
              </w:rPr>
              <w:t>Additional paid in capital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Arial" w:cs="Arial" w:eastAsia="Arial" w:hAnsi="Arial"/>
                <w:sz w:val="18"/>
                <w:szCs w:val="18"/>
                <w:color w:val="auto"/>
              </w:rPr>
              <w:t>Deficit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(365,552)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(304,157)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(Note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i w:val="1"/>
          <w:iCs w:val="1"/>
          <w:color w:val="auto"/>
        </w:rPr>
        <w:t>(Note 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(Note 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(Note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Exploration and evaluation expenses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exchange loss (gain)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Interest expense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27,894</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36,651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61,395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 Basic and diluted</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2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w w:val="92"/>
              </w:rPr>
              <w:t>Weighted average number of common shares outstanding</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 basic and diluted</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239,740,984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205,248,258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231,028,587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198,092,309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2"/>
                <w:szCs w:val="12"/>
                <w:color w:val="auto"/>
              </w:rPr>
            </w:pP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227,158,455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$ 299,056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113,487</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(337,658)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73,669</w:t>
            </w:r>
          </w:p>
        </w:tc>
        <w:tc>
          <w:tcPr>
            <w:tcW w:w="0" w:type="dxa"/>
            <w:vAlign w:val="bottom"/>
          </w:tcPr>
          <w:p>
            <w:pPr>
              <w:spacing w:after="0"/>
              <w:rPr>
                <w:sz w:val="1"/>
                <w:szCs w:val="1"/>
                <w:color w:val="auto"/>
              </w:rPr>
            </w:pPr>
          </w:p>
        </w:tc>
      </w:tr>
      <w:tr>
        <w:trPr>
          <w:trHeight w:val="130"/>
        </w:trPr>
        <w:tc>
          <w:tcPr>
            <w:tcW w:w="2940" w:type="dxa"/>
            <w:vAlign w:val="bottom"/>
            <w:gridSpan w:val="2"/>
          </w:tcPr>
          <w:p>
            <w:pPr>
              <w:spacing w:after="0" w:line="130" w:lineRule="exact"/>
              <w:rPr>
                <w:sz w:val="20"/>
                <w:szCs w:val="20"/>
                <w:color w:val="auto"/>
              </w:rPr>
            </w:pPr>
            <w:r>
              <w:rPr>
                <w:rFonts w:ascii="Arial" w:cs="Arial" w:eastAsia="Arial" w:hAnsi="Arial"/>
                <w:sz w:val="14"/>
                <w:szCs w:val="14"/>
                <w:color w:val="auto"/>
              </w:rPr>
              <w:t>Issuance of shares under PIPE financing - net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proceeds (Note 9)</w:t>
            </w:r>
          </w:p>
        </w:tc>
        <w:tc>
          <w:tcPr>
            <w:tcW w:w="980" w:type="dxa"/>
            <w:vAlign w:val="bottom"/>
            <w:gridSpan w:val="4"/>
          </w:tcPr>
          <w:p>
            <w:pPr>
              <w:jc w:val="right"/>
              <w:ind w:right="60"/>
              <w:spacing w:after="0"/>
              <w:rPr>
                <w:sz w:val="20"/>
                <w:szCs w:val="20"/>
                <w:color w:val="auto"/>
              </w:rPr>
            </w:pPr>
            <w:r>
              <w:rPr>
                <w:rFonts w:ascii="Arial" w:cs="Arial" w:eastAsia="Arial" w:hAnsi="Arial"/>
                <w:sz w:val="14"/>
                <w:szCs w:val="14"/>
                <w:color w:val="auto"/>
              </w:rPr>
              <w:t>38,266,180</w:t>
            </w:r>
          </w:p>
        </w:tc>
        <w:tc>
          <w:tcPr>
            <w:tcW w:w="780" w:type="dxa"/>
            <w:vAlign w:val="bottom"/>
            <w:gridSpan w:val="4"/>
          </w:tcPr>
          <w:p>
            <w:pPr>
              <w:jc w:val="right"/>
              <w:ind w:right="40"/>
              <w:spacing w:after="0"/>
              <w:rPr>
                <w:sz w:val="20"/>
                <w:szCs w:val="20"/>
                <w:color w:val="auto"/>
              </w:rPr>
            </w:pPr>
            <w:r>
              <w:rPr>
                <w:rFonts w:ascii="Arial" w:cs="Arial" w:eastAsia="Arial" w:hAnsi="Arial"/>
                <w:sz w:val="14"/>
                <w:szCs w:val="14"/>
                <w:color w:val="auto"/>
              </w:rPr>
              <w:t>29,668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29,668</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w:t>
            </w: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2940" w:type="dxa"/>
            <w:vAlign w:val="bottom"/>
            <w:gridSpan w:val="2"/>
          </w:tcPr>
          <w:p>
            <w:pPr>
              <w:spacing w:after="0" w:line="130" w:lineRule="exact"/>
              <w:rPr>
                <w:sz w:val="20"/>
                <w:szCs w:val="20"/>
                <w:color w:val="auto"/>
              </w:rPr>
            </w:pPr>
            <w:r>
              <w:rPr>
                <w:rFonts w:ascii="Arial" w:cs="Arial" w:eastAsia="Arial" w:hAnsi="Arial"/>
                <w:sz w:val="14"/>
                <w:szCs w:val="14"/>
                <w:color w:val="auto"/>
                <w:w w:val="94"/>
              </w:rPr>
              <w:t>Conversion of restricted share units, net of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withheld for taxes (Note 6)</w:t>
            </w:r>
          </w:p>
        </w:tc>
        <w:tc>
          <w:tcPr>
            <w:tcW w:w="980" w:type="dxa"/>
            <w:vAlign w:val="bottom"/>
            <w:gridSpan w:val="4"/>
          </w:tcPr>
          <w:p>
            <w:pPr>
              <w:jc w:val="right"/>
              <w:ind w:right="60"/>
              <w:spacing w:after="0"/>
              <w:rPr>
                <w:sz w:val="20"/>
                <w:szCs w:val="20"/>
                <w:color w:val="auto"/>
              </w:rPr>
            </w:pPr>
            <w:r>
              <w:rPr>
                <w:rFonts w:ascii="Arial" w:cs="Arial" w:eastAsia="Arial" w:hAnsi="Arial"/>
                <w:sz w:val="14"/>
                <w:szCs w:val="14"/>
                <w:color w:val="auto"/>
              </w:rPr>
              <w:t>5,354</w:t>
            </w:r>
          </w:p>
        </w:tc>
        <w:tc>
          <w:tcPr>
            <w:tcW w:w="780" w:type="dxa"/>
            <w:vAlign w:val="bottom"/>
            <w:gridSpan w:val="4"/>
          </w:tcPr>
          <w:p>
            <w:pPr>
              <w:jc w:val="right"/>
              <w:ind w:right="4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Loss for the period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(27,894)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(27,894)</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265,529,989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$ 328,911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116,917</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(365,552)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79,060</w:t>
            </w:r>
          </w:p>
        </w:tc>
        <w:tc>
          <w:tcPr>
            <w:tcW w:w="0" w:type="dxa"/>
            <w:vAlign w:val="bottom"/>
          </w:tcPr>
          <w:p>
            <w:pPr>
              <w:spacing w:after="0"/>
              <w:rPr>
                <w:sz w:val="1"/>
                <w:szCs w:val="1"/>
                <w:color w:val="auto"/>
              </w:rPr>
            </w:pPr>
          </w:p>
        </w:tc>
      </w:tr>
      <w:tr>
        <w:trPr>
          <w:trHeight w:val="349"/>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(Note 1)</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3"/>
                <w:szCs w:val="13"/>
                <w:color w:val="auto"/>
              </w:rPr>
            </w:pPr>
          </w:p>
        </w:tc>
        <w:tc>
          <w:tcPr>
            <w:tcW w:w="74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197,794,399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$ 188,901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72,541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(247,708)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13,068</w:t>
            </w: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2,321,967</w:t>
            </w:r>
          </w:p>
        </w:tc>
        <w:tc>
          <w:tcPr>
            <w:tcW w:w="10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(4,366)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debenture</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3,068,672</w:t>
            </w:r>
          </w:p>
        </w:tc>
        <w:tc>
          <w:tcPr>
            <w:tcW w:w="10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26,503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26,503</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180,485</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Net equity from Business Combination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60,987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30,339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91,326</w:t>
            </w:r>
          </w:p>
        </w:tc>
        <w:tc>
          <w:tcPr>
            <w:tcW w:w="0" w:type="dxa"/>
            <w:vAlign w:val="bottom"/>
          </w:tcPr>
          <w:p>
            <w:pPr>
              <w:spacing w:after="0"/>
              <w:rPr>
                <w:sz w:val="1"/>
                <w:szCs w:val="1"/>
                <w:color w:val="auto"/>
              </w:rPr>
            </w:pPr>
          </w:p>
        </w:tc>
      </w:tr>
      <w:tr>
        <w:trPr>
          <w:trHeight w:val="130"/>
        </w:trPr>
        <w:tc>
          <w:tcPr>
            <w:tcW w:w="2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shares to common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509,458</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Loss for the period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(36,651)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(36,651)</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September 30, 2021</w:t>
            </w: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203,874,981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$ 284,228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108,022</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(284,359)</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106,675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8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40"/>
              <w:spacing w:after="0" w:line="133"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40"/>
              <w:spacing w:after="0" w:line="133" w:lineRule="exact"/>
              <w:rPr>
                <w:sz w:val="20"/>
                <w:szCs w:val="20"/>
                <w:color w:val="auto"/>
              </w:rPr>
            </w:pPr>
            <w:r>
              <w:rPr>
                <w:rFonts w:ascii="Arial" w:cs="Arial" w:eastAsia="Arial" w:hAnsi="Arial"/>
                <w:sz w:val="14"/>
                <w:szCs w:val="14"/>
                <w:b w:val="1"/>
                <w:bCs w:val="1"/>
                <w:color w:val="auto"/>
                <w:w w:val="89"/>
              </w:rPr>
              <w:t>Special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tcPr>
          <w:p>
            <w:pPr>
              <w:jc w:val="right"/>
              <w:ind w:right="16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1"/>
                <w:szCs w:val="11"/>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225,432,493</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296,051</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c>
          <w:tcPr>
            <w:tcW w:w="0" w:type="dxa"/>
            <w:vAlign w:val="bottom"/>
          </w:tcPr>
          <w:p>
            <w:pPr>
              <w:spacing w:after="0"/>
              <w:rPr>
                <w:sz w:val="1"/>
                <w:szCs w:val="1"/>
                <w:color w:val="auto"/>
              </w:rPr>
            </w:pPr>
          </w:p>
        </w:tc>
      </w:tr>
      <w:tr>
        <w:trPr>
          <w:trHeight w:val="130"/>
        </w:trPr>
        <w:tc>
          <w:tcPr>
            <w:tcW w:w="3160" w:type="dxa"/>
            <w:vAlign w:val="bottom"/>
            <w:gridSpan w:val="4"/>
          </w:tcPr>
          <w:p>
            <w:pPr>
              <w:spacing w:after="0" w:line="130" w:lineRule="exact"/>
              <w:rPr>
                <w:sz w:val="20"/>
                <w:szCs w:val="20"/>
                <w:color w:val="auto"/>
              </w:rPr>
            </w:pPr>
            <w:r>
              <w:rPr>
                <w:rFonts w:ascii="Arial" w:cs="Arial" w:eastAsia="Arial" w:hAnsi="Arial"/>
                <w:sz w:val="14"/>
                <w:szCs w:val="14"/>
                <w:color w:val="auto"/>
              </w:rPr>
              <w:t>Issuance of shares under PIPE financing - net</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4"/>
          </w:tcPr>
          <w:p>
            <w:pPr>
              <w:ind w:left="140"/>
              <w:spacing w:after="0"/>
              <w:rPr>
                <w:sz w:val="20"/>
                <w:szCs w:val="20"/>
                <w:color w:val="auto"/>
              </w:rPr>
            </w:pPr>
            <w:r>
              <w:rPr>
                <w:rFonts w:ascii="Arial" w:cs="Arial" w:eastAsia="Arial" w:hAnsi="Arial"/>
                <w:sz w:val="14"/>
                <w:szCs w:val="14"/>
                <w:color w:val="auto"/>
              </w:rPr>
              <w:t>proceeds (Note 9)</w:t>
            </w:r>
          </w:p>
        </w:tc>
        <w:tc>
          <w:tcPr>
            <w:tcW w:w="780" w:type="dxa"/>
            <w:vAlign w:val="bottom"/>
          </w:tcPr>
          <w:p>
            <w:pPr>
              <w:jc w:val="right"/>
              <w:spacing w:after="0"/>
              <w:rPr>
                <w:sz w:val="20"/>
                <w:szCs w:val="20"/>
                <w:color w:val="auto"/>
              </w:rPr>
            </w:pPr>
            <w:r>
              <w:rPr>
                <w:rFonts w:ascii="Arial" w:cs="Arial" w:eastAsia="Arial" w:hAnsi="Arial"/>
                <w:sz w:val="14"/>
                <w:szCs w:val="14"/>
                <w:color w:val="auto"/>
              </w:rPr>
              <w:t>38,266,180</w:t>
            </w:r>
          </w:p>
        </w:tc>
        <w:tc>
          <w:tcPr>
            <w:tcW w:w="4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29,668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29,668</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118,461</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3160" w:type="dxa"/>
            <w:vAlign w:val="bottom"/>
            <w:gridSpan w:val="4"/>
          </w:tcPr>
          <w:p>
            <w:pPr>
              <w:spacing w:after="0" w:line="130" w:lineRule="exact"/>
              <w:rPr>
                <w:sz w:val="20"/>
                <w:szCs w:val="20"/>
                <w:color w:val="auto"/>
              </w:rPr>
            </w:pPr>
            <w:r>
              <w:rPr>
                <w:rFonts w:ascii="Arial" w:cs="Arial" w:eastAsia="Arial" w:hAnsi="Arial"/>
                <w:sz w:val="14"/>
                <w:szCs w:val="14"/>
                <w:color w:val="auto"/>
              </w:rPr>
              <w:t>Conversion of restricted share units, net of shares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4"/>
          </w:tcPr>
          <w:p>
            <w:pPr>
              <w:ind w:left="140"/>
              <w:spacing w:after="0"/>
              <w:rPr>
                <w:sz w:val="20"/>
                <w:szCs w:val="20"/>
                <w:color w:val="auto"/>
              </w:rPr>
            </w:pPr>
            <w:r>
              <w:rPr>
                <w:rFonts w:ascii="Arial" w:cs="Arial" w:eastAsia="Arial" w:hAnsi="Arial"/>
                <w:sz w:val="14"/>
                <w:szCs w:val="14"/>
                <w:color w:val="auto"/>
              </w:rPr>
              <w:t>withheld for taxes (Note 6)</w:t>
            </w:r>
          </w:p>
        </w:tc>
        <w:tc>
          <w:tcPr>
            <w:tcW w:w="780" w:type="dxa"/>
            <w:vAlign w:val="bottom"/>
          </w:tcPr>
          <w:p>
            <w:pPr>
              <w:jc w:val="right"/>
              <w:spacing w:after="0"/>
              <w:rPr>
                <w:sz w:val="20"/>
                <w:szCs w:val="20"/>
                <w:color w:val="auto"/>
              </w:rPr>
            </w:pPr>
            <w:r>
              <w:rPr>
                <w:rFonts w:ascii="Arial" w:cs="Arial" w:eastAsia="Arial" w:hAnsi="Arial"/>
                <w:sz w:val="14"/>
                <w:szCs w:val="14"/>
                <w:color w:val="auto"/>
              </w:rPr>
              <w:t>1,670,429</w:t>
            </w:r>
          </w:p>
        </w:tc>
        <w:tc>
          <w:tcPr>
            <w:tcW w:w="4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2,984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(3,062)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0"/>
        </w:trPr>
        <w:tc>
          <w:tcPr>
            <w:tcW w:w="3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Share purchase under Employee Share Purchase</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Plan (Note 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42,426</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17,982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17,982</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(61,395)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(61,395)</w:t>
            </w:r>
          </w:p>
        </w:tc>
        <w:tc>
          <w:tcPr>
            <w:tcW w:w="0" w:type="dxa"/>
            <w:vAlign w:val="bottom"/>
          </w:tcPr>
          <w:p>
            <w:pPr>
              <w:spacing w:after="0"/>
              <w:rPr>
                <w:sz w:val="1"/>
                <w:szCs w:val="1"/>
                <w:color w:val="auto"/>
              </w:rPr>
            </w:pPr>
          </w:p>
        </w:tc>
      </w:tr>
      <w:tr>
        <w:trPr>
          <w:trHeight w:val="142"/>
        </w:trPr>
        <w:tc>
          <w:tcPr>
            <w:tcW w:w="31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265,529,989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$ 328,911</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116,917</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 (365,552)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79,060</w:t>
            </w:r>
          </w:p>
        </w:tc>
        <w:tc>
          <w:tcPr>
            <w:tcW w:w="0" w:type="dxa"/>
            <w:vAlign w:val="bottom"/>
          </w:tcPr>
          <w:p>
            <w:pPr>
              <w:spacing w:after="0"/>
              <w:rPr>
                <w:sz w:val="1"/>
                <w:szCs w:val="1"/>
                <w:color w:val="auto"/>
              </w:rPr>
            </w:pPr>
          </w:p>
        </w:tc>
      </w:tr>
      <w:tr>
        <w:trPr>
          <w:trHeight w:val="376"/>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(Note 1)</w:t>
            </w:r>
          </w:p>
        </w:tc>
        <w:tc>
          <w:tcPr>
            <w:tcW w:w="8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7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540" w:type="dxa"/>
            <w:vAlign w:val="bottom"/>
            <w:gridSpan w:val="4"/>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Special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Paid in</w:t>
            </w:r>
          </w:p>
        </w:tc>
        <w:tc>
          <w:tcPr>
            <w:tcW w:w="60" w:type="dxa"/>
            <w:vAlign w:val="bottom"/>
          </w:tcPr>
          <w:p>
            <w:pPr>
              <w:spacing w:after="0"/>
              <w:rPr>
                <w:sz w:val="10"/>
                <w:szCs w:val="10"/>
                <w:color w:val="auto"/>
              </w:rPr>
            </w:pPr>
          </w:p>
        </w:tc>
        <w:tc>
          <w:tcPr>
            <w:tcW w:w="1180" w:type="dxa"/>
            <w:vAlign w:val="bottom"/>
            <w:gridSpan w:val="5"/>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189,493,593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$ 154,431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(162,858)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6,312,902</w:t>
            </w: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(10,061)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4,236</w:t>
            </w:r>
          </w:p>
        </w:tc>
        <w:tc>
          <w:tcPr>
            <w:tcW w:w="0" w:type="dxa"/>
            <w:vAlign w:val="bottom"/>
          </w:tcPr>
          <w:p>
            <w:pPr>
              <w:spacing w:after="0"/>
              <w:rPr>
                <w:sz w:val="1"/>
                <w:szCs w:val="1"/>
                <w:color w:val="auto"/>
              </w:rPr>
            </w:pPr>
          </w:p>
        </w:tc>
      </w:tr>
      <w:tr>
        <w:trPr>
          <w:trHeight w:val="130"/>
        </w:trPr>
        <w:tc>
          <w:tcPr>
            <w:tcW w:w="3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 exploration and</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evaluation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4,245,031</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25,664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(12,879)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12,785</w:t>
            </w:r>
          </w:p>
        </w:tc>
        <w:tc>
          <w:tcPr>
            <w:tcW w:w="0" w:type="dxa"/>
            <w:vAlign w:val="bottom"/>
          </w:tcPr>
          <w:p>
            <w:pPr>
              <w:spacing w:after="0"/>
              <w:rPr>
                <w:sz w:val="1"/>
                <w:szCs w:val="1"/>
                <w:color w:val="auto"/>
              </w:rPr>
            </w:pPr>
          </w:p>
        </w:tc>
      </w:tr>
      <w:tr>
        <w:trPr>
          <w:trHeight w:val="149"/>
        </w:trPr>
        <w:tc>
          <w:tcPr>
            <w:tcW w:w="3160" w:type="dxa"/>
            <w:vAlign w:val="bottom"/>
            <w:gridSpan w:val="4"/>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55,276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55,276</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187,432</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3160" w:type="dxa"/>
            <w:vAlign w:val="bottom"/>
            <w:gridSpan w:val="4"/>
          </w:tcPr>
          <w:p>
            <w:pPr>
              <w:spacing w:after="0" w:line="149" w:lineRule="exact"/>
              <w:rPr>
                <w:sz w:val="20"/>
                <w:szCs w:val="20"/>
                <w:color w:val="auto"/>
              </w:rPr>
            </w:pPr>
            <w:r>
              <w:rPr>
                <w:rFonts w:ascii="Arial" w:cs="Arial" w:eastAsia="Arial" w:hAnsi="Arial"/>
                <w:sz w:val="14"/>
                <w:szCs w:val="14"/>
                <w:color w:val="auto"/>
              </w:rPr>
              <w:t>Net equity from Business Combination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60,987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30,339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91,326</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Conversion of debentures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3,126,565</w:t>
            </w:r>
          </w:p>
        </w:tc>
        <w:tc>
          <w:tcPr>
            <w:tcW w:w="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27,003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27,003</w:t>
            </w:r>
          </w:p>
        </w:tc>
        <w:tc>
          <w:tcPr>
            <w:tcW w:w="0" w:type="dxa"/>
            <w:vAlign w:val="bottom"/>
          </w:tcPr>
          <w:p>
            <w:pPr>
              <w:spacing w:after="0"/>
              <w:rPr>
                <w:sz w:val="1"/>
                <w:szCs w:val="1"/>
                <w:color w:val="auto"/>
              </w:rPr>
            </w:pPr>
          </w:p>
        </w:tc>
      </w:tr>
      <w:tr>
        <w:trPr>
          <w:trHeight w:val="149"/>
        </w:trPr>
        <w:tc>
          <w:tcPr>
            <w:tcW w:w="3160" w:type="dxa"/>
            <w:vAlign w:val="bottom"/>
            <w:gridSpan w:val="4"/>
          </w:tcPr>
          <w:p>
            <w:pPr>
              <w:spacing w:after="0" w:line="149" w:lineRule="exact"/>
              <w:rPr>
                <w:sz w:val="20"/>
                <w:szCs w:val="20"/>
                <w:color w:val="auto"/>
              </w:rPr>
            </w:pPr>
            <w:r>
              <w:rPr>
                <w:rFonts w:ascii="Arial" w:cs="Arial" w:eastAsia="Arial" w:hAnsi="Arial"/>
                <w:sz w:val="14"/>
                <w:szCs w:val="14"/>
                <w:color w:val="auto"/>
              </w:rPr>
              <w:t>Conversion of preferred shares to common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509,458</w:t>
            </w:r>
          </w:p>
        </w:tc>
        <w:tc>
          <w:tcPr>
            <w:tcW w:w="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(121,501)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(121,501)</w:t>
            </w:r>
          </w:p>
        </w:tc>
        <w:tc>
          <w:tcPr>
            <w:tcW w:w="0" w:type="dxa"/>
            <w:vAlign w:val="bottom"/>
          </w:tcPr>
          <w:p>
            <w:pPr>
              <w:spacing w:after="0"/>
              <w:rPr>
                <w:sz w:val="1"/>
                <w:szCs w:val="1"/>
                <w:color w:val="auto"/>
              </w:rPr>
            </w:pPr>
          </w:p>
        </w:tc>
      </w:tr>
      <w:tr>
        <w:trPr>
          <w:trHeight w:val="142"/>
        </w:trPr>
        <w:tc>
          <w:tcPr>
            <w:tcW w:w="3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2021</w:t>
            </w: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203,874,981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$ 284,228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7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108,022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 (284,359)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106,675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00" w:type="dxa"/>
            <w:vAlign w:val="bottom"/>
            <w:gridSpan w:val="3"/>
            <w:vMerge w:val="restart"/>
          </w:tcPr>
          <w:p>
            <w:pPr>
              <w:jc w:val="center"/>
              <w:ind w:right="259"/>
              <w:spacing w:after="0"/>
              <w:rPr>
                <w:sz w:val="20"/>
                <w:szCs w:val="20"/>
                <w:color w:val="auto"/>
              </w:rPr>
            </w:pPr>
            <w:r>
              <w:rPr>
                <w:rFonts w:ascii="Arial" w:cs="Arial" w:eastAsia="Arial" w:hAnsi="Arial"/>
                <w:sz w:val="14"/>
                <w:szCs w:val="14"/>
                <w:b w:val="1"/>
                <w:bCs w:val="1"/>
                <w:color w:val="auto"/>
                <w:w w:val="89"/>
              </w:rPr>
              <w:t>Note</w:t>
            </w:r>
          </w:p>
        </w:tc>
        <w:tc>
          <w:tcPr>
            <w:tcW w:w="10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11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0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Items not affecting cash:</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convertible debentures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Settlement of deferred acquisition costs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PIPE financing</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Expenses paid for PIPE financing</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share purchase plan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Taxes withheld and paid on share-based compensation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29,774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(17,945)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beginning of period</w:t>
            </w: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66,872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75"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spacing w:after="0" w:line="164"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11"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17" w:lineRule="exact"/>
        <w:rPr>
          <w:rFonts w:ascii="Arial" w:cs="Arial" w:eastAsia="Arial" w:hAnsi="Arial"/>
          <w:sz w:val="18"/>
          <w:szCs w:val="18"/>
          <w:b w:val="1"/>
          <w:bCs w:val="1"/>
          <w:color w:val="auto"/>
        </w:rPr>
      </w:pPr>
    </w:p>
    <w:p>
      <w:pPr>
        <w:ind w:left="340" w:right="1840"/>
        <w:spacing w:after="0" w:line="464" w:lineRule="auto"/>
        <w:rPr>
          <w:rFonts w:ascii="Arial" w:cs="Arial" w:eastAsia="Arial" w:hAnsi="Arial"/>
          <w:sz w:val="18"/>
          <w:szCs w:val="18"/>
          <w:b w:val="1"/>
          <w:bCs w:val="1"/>
          <w:color w:val="auto"/>
        </w:rPr>
      </w:pPr>
      <w:r>
        <w:rPr>
          <w:rFonts w:ascii="Arial" w:cs="Arial" w:eastAsia="Arial" w:hAnsi="Arial"/>
          <w:sz w:val="16"/>
          <w:szCs w:val="16"/>
          <w:color w:val="auto"/>
        </w:rPr>
        <w:t>All share and per share amounts have been adjusted to reflect the impact of the Business Combination. Certain comparative figures in note 4 have been reclassified to conform to the current period’s presentation.</w:t>
      </w: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61"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and warrants liability (Note 5). Actual results could differ materially from those estimates.</w:t>
      </w:r>
    </w:p>
    <w:p>
      <w:pPr>
        <w:spacing w:after="0" w:line="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8"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3" w:lineRule="exact"/>
        <w:rPr>
          <w:rFonts w:ascii="Arial" w:cs="Arial" w:eastAsia="Arial" w:hAnsi="Arial"/>
          <w:sz w:val="18"/>
          <w:szCs w:val="18"/>
          <w:b w:val="1"/>
          <w:bCs w:val="1"/>
          <w:color w:val="auto"/>
        </w:rPr>
      </w:pPr>
    </w:p>
    <w:p>
      <w:pPr>
        <w:ind w:left="680" w:right="20" w:hanging="321"/>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 xml:space="preserve"> -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 xml:space="preserve"> -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 xml:space="preserve"> -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2022 and 2021.</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September 30,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 Adopted during the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 on Employee Share Purchase Plan</w:t>
      </w:r>
    </w:p>
    <w:p>
      <w:pPr>
        <w:spacing w:after="0" w:line="229"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During the second quarter of 2022, the Company implemented an employee share purchase plan (the “ESPP”) whereby employees can purchase common shares of the Company at a 15% discount to its share price at the time of purchase, through payroll deductions (Note 6).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Accounting for Certain Modifications or Exchanges of Freestanding Equity-Classified Written Call Options</w:t>
      </w:r>
    </w:p>
    <w:p>
      <w:pPr>
        <w:spacing w:after="0" w:line="229"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In May 2021, the Financial Accounting Standards Board (the “FASB”) issued Accounting Standards Update (“ASU”) 2021-04, </w:t>
      </w:r>
      <w:r>
        <w:rPr>
          <w:rFonts w:ascii="Arial" w:cs="Arial" w:eastAsia="Arial" w:hAnsi="Arial"/>
          <w:sz w:val="17"/>
          <w:szCs w:val="17"/>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Arial" w:cs="Arial" w:eastAsia="Arial" w:hAnsi="Arial"/>
          <w:sz w:val="17"/>
          <w:szCs w:val="17"/>
          <w:color w:val="auto"/>
        </w:rPr>
        <w:t>, which clarified and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jc w:val="both"/>
        <w:ind w:left="340" w:right="7860" w:hanging="332"/>
        <w:spacing w:after="0" w:line="566"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Exploration Contracts Strategic Partnerships</w:t>
      </w: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Pilot Mining Test Project with Allseas</w:t>
      </w:r>
    </w:p>
    <w:p>
      <w:pPr>
        <w:spacing w:after="0" w:line="225" w:lineRule="exact"/>
        <w:rPr>
          <w:rFonts w:ascii="Arial" w:cs="Arial" w:eastAsia="Arial" w:hAnsi="Arial"/>
          <w:sz w:val="16"/>
          <w:szCs w:val="16"/>
          <w:b w:val="1"/>
          <w:bCs w:val="1"/>
          <w:color w:val="auto"/>
        </w:rPr>
      </w:pPr>
    </w:p>
    <w:p>
      <w:pPr>
        <w:jc w:val="both"/>
        <w:ind w:left="34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The Company made the second $10 million payment of the amended Pilot Mining Test Agreement (“PMTA”) on April 25, 2022, upon successful completion of the North Sea drive test on March 25, 2022. The third and final $10 million payment will be payable upon successful completion of the pilot trial of the Pilot Mining Test System (“PMTS”) in NORI Area D. Completion of the pilot trial of the PMTS and third and final payment is expected to occur in the fourth quarter of 2022.</w:t>
      </w:r>
    </w:p>
    <w:p>
      <w:pPr>
        <w:spacing w:after="0" w:line="171" w:lineRule="exact"/>
        <w:rPr>
          <w:rFonts w:ascii="Arial" w:cs="Arial" w:eastAsia="Arial" w:hAnsi="Arial"/>
          <w:sz w:val="16"/>
          <w:szCs w:val="16"/>
          <w:b w:val="1"/>
          <w:bCs w:val="1"/>
          <w:color w:val="auto"/>
        </w:rPr>
      </w:pPr>
    </w:p>
    <w:p>
      <w:pPr>
        <w:jc w:val="both"/>
        <w:ind w:left="34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Total cost recorded as exploration and evaluation expenses for the PMTS during the three and nine months ended September 30, 2022 amounted to $1.3 million and $4 million, respectively (three and nine months ended September 30, 2021 amounted to $12.9 million). The Company has not recorded a liability for the third payment as at September 30, 2022.</w:t>
      </w:r>
    </w:p>
    <w:p>
      <w:pPr>
        <w:spacing w:after="0" w:line="165"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6"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at September 30, 2022, Allseas owned 22.7 million TMC common shares (December 31, 2021 – 16.2 million TMC common shares) which constituted 8.6% (December 31, 2021 – 7.2%) of total common shares outstanding.</w:t>
      </w:r>
    </w:p>
    <w:p>
      <w:pPr>
        <w:spacing w:after="0" w:line="170" w:lineRule="exact"/>
        <w:rPr>
          <w:rFonts w:ascii="Arial" w:cs="Arial" w:eastAsia="Arial" w:hAnsi="Arial"/>
          <w:sz w:val="16"/>
          <w:szCs w:val="16"/>
          <w:b w:val="1"/>
          <w:bCs w:val="1"/>
          <w:color w:val="auto"/>
        </w:rPr>
      </w:pPr>
    </w:p>
    <w:p>
      <w:pPr>
        <w:jc w:val="both"/>
        <w:ind w:left="34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On November 9, 2022, the Company and Allseas agreed to settle the third and final payment of $10 million in either cash or shares of the Company, at the Company’s election. With the successful completion of the pilot trial of the PMTS, as approved by the Company’s Board of Directors on November 11, 2022, the Company intends to satisfy the Allseas obligation through the issuance of common shares in the fourth quarter of 2022, subject to regulatory approval (Note 12).</w:t>
      </w:r>
    </w:p>
    <w:p>
      <w:pPr>
        <w:spacing w:after="0" w:line="16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Exploration and Evaluation Expenses</w:t>
      </w:r>
    </w:p>
    <w:p>
      <w:pPr>
        <w:spacing w:after="0" w:line="22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detail of exploration and evaluation expenses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three months ended September 30, 2022</w:t>
            </w:r>
          </w:p>
        </w:tc>
        <w:tc>
          <w:tcPr>
            <w:tcW w:w="12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PMTS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7"/>
              </w:rPr>
              <w:t>Sponsorship, Training and Stakeholder Engagement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Exploration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September 30, 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17,950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23,848</w:t>
            </w:r>
          </w:p>
        </w:tc>
        <w:tc>
          <w:tcPr>
            <w:tcW w:w="0" w:type="dxa"/>
            <w:vAlign w:val="bottom"/>
          </w:tcPr>
          <w:p>
            <w:pPr>
              <w:spacing w:after="0"/>
              <w:rPr>
                <w:sz w:val="1"/>
                <w:szCs w:val="1"/>
                <w:color w:val="auto"/>
              </w:rPr>
            </w:pPr>
          </w:p>
        </w:tc>
      </w:tr>
      <w:tr>
        <w:trPr>
          <w:trHeight w:val="349"/>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For the nine months ended September 30, 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Exploration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35,368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40,340</w:t>
            </w:r>
          </w:p>
        </w:tc>
        <w:tc>
          <w:tcPr>
            <w:tcW w:w="0" w:type="dxa"/>
            <w:vAlign w:val="bottom"/>
          </w:tcPr>
          <w:p>
            <w:pPr>
              <w:spacing w:after="0"/>
              <w:rPr>
                <w:sz w:val="1"/>
                <w:szCs w:val="1"/>
                <w:color w:val="auto"/>
              </w:rPr>
            </w:pPr>
          </w:p>
        </w:tc>
      </w:tr>
      <w:tr>
        <w:trPr>
          <w:trHeight w:val="349"/>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For the nine months ended September 30, 2021</w:t>
            </w:r>
          </w:p>
        </w:tc>
        <w:tc>
          <w:tcPr>
            <w:tcW w:w="200" w:type="dxa"/>
            <w:vAlign w:val="bottom"/>
          </w:tcPr>
          <w:p>
            <w:pPr>
              <w:spacing w:after="0"/>
              <w:rPr>
                <w:sz w:val="12"/>
                <w:szCs w:val="12"/>
                <w:color w:val="auto"/>
              </w:rPr>
            </w:pPr>
          </w:p>
        </w:tc>
        <w:tc>
          <w:tcPr>
            <w:tcW w:w="90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44,004</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PMTS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Sponsorship, Training and Stakeholder Engagement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55,439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12,375</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80,181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September 30, 2022, 15,000,000 (December 31, 2021 - 15,000,000) Public Warrants were outstanding. Public Warrants may only be exercised for a whole number of shares.</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As at September 30, 2022, the value of outstanding Public Warrants of $19.5 million was recorded in additional paid in capital.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September 30, 2022, 9,500,000 Private Warrants were outstanding (December 31, 2021 - 9,500,000).</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September 30, 2022, the fair value of outstanding Private Warrants of $2.2 million is recorded as warrants liability. The following table presents the changes in the fair value of warrants liability:</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Private</w:t>
            </w:r>
          </w:p>
        </w:tc>
      </w:tr>
      <w:tr>
        <w:trPr>
          <w:trHeight w:val="171"/>
        </w:trPr>
        <w:tc>
          <w:tcPr>
            <w:tcW w:w="7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at December 31, 2021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Decrease in fair value of warrants liability</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September 30, 2022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September 30, 2022 and December 31, 2021, the fair value of the Private Warrants was estimated using the following assumptions: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100" w:type="dxa"/>
            <w:vAlign w:val="bottom"/>
            <w:gridSpan w:val="4"/>
          </w:tcPr>
          <w:p>
            <w:pPr>
              <w:ind w:left="29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0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 price</w:t>
            </w:r>
          </w:p>
        </w:tc>
        <w:tc>
          <w:tcPr>
            <w:tcW w:w="314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91.72 %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64.6 %</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Term</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3.9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There were no exercises or redemptions of the Public Warrants or Private Warrants during the three and nine months ended September 30,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Warrants upon successful completion of the pilot trial of the PMTS in the NORI Area D. No expense or liability has been recorded as at and for the three and nine months ended September 30, 2022.</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With the successful completion of the pilot trial of the PMTS, as approved by the Company’s Board of Directors on November 11, 2022, the 11.6 million Allseas Warrants have vested and are exercisable (Note 12).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at September 30, 2022, there were 15,356,340 stock options outstanding under the Company’s Short-Term Incentive Plan (“STIP”) and 9,783,922 stock options outstanding under the Company’s Long-Term Incentive Plan (“LTIP”). During the three and nine months ended September 30, 2022, 100,000 STIP stock options and 118,461 STIP stock options, respectively were exercised, and no new options were granted.</w:t>
      </w:r>
    </w:p>
    <w:p>
      <w:pPr>
        <w:spacing w:after="0" w:line="186"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During the three and nine months ended September 30, 2022, the Company recognized $176 million and $9.2 million respectively (three and nine months ended September 30, 2021 - $9.5 million and $55.2 million, respectively) of share-based compensation expense for stock options in the statement of loss and comprehensive loss. For the three and nine months ended September 30, 2022 a total of $0.7 million and $4.6 million respectively, was recorded in exploration and evaluation expenses (three and nine months ended September 30, 2021 - $3 million and $30.6 million, respectively). The amount recorded in general and administration expenses for three and nine months ended September 30, 2022 was $1.0 million and $4.6 million respectively (three and nine months ended September 31, 2021 - $6.4 million and $24.7 million respectively).</w:t>
      </w:r>
    </w:p>
    <w:p>
      <w:pPr>
        <w:spacing w:after="0" w:line="17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During the third quarter of 2022, the Company extended the expiry dates of 1,237,329 of its issued stock options in recognition of the continued services provided by the option holders and as a result recorded $0.3 million of share-based compensation expense in general and administrative expenses for the three months and nine months ended September 30, 2022.</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details of RSUs granted during the three and nine months ended September 30, 2022 are described below.</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Arial" w:cs="Arial" w:eastAsia="Arial" w:hAnsi="Arial"/>
                <w:sz w:val="14"/>
                <w:szCs w:val="14"/>
                <w:b w:val="1"/>
                <w:bCs w:val="1"/>
                <w:color w:val="auto"/>
              </w:rPr>
              <w:t>Vesting Period</w:t>
            </w: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w w:val="97"/>
              </w:rPr>
              <w:t>Three months ended September 30,</w:t>
            </w: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5"/>
        </w:trPr>
        <w:tc>
          <w:tcPr>
            <w:tcW w:w="43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Vesting Immediately</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1,721,729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Vesting in thirds on each anniversary of the grant date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95,238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56,224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464,632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56,224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Vesting in fourths on each anniversary of the grant date</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Vesting fully on the anniversary of the grant date</w:t>
            </w:r>
          </w:p>
        </w:tc>
        <w:tc>
          <w:tcPr>
            <w:tcW w:w="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476,189</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Out of the 1,721,729 units vesting immediately on grant date, 1,072,572 units were issued to settle liabilities with a carrying amount of $1.8 million at a weighted average grant date fair value of $1.75 per RSU.</w:t>
      </w:r>
    </w:p>
    <w:p>
      <w:pPr>
        <w:spacing w:after="0" w:line="170"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During the three and nine months ended September 30, 2022, an aggregate of nil and 476,189 units respectively were granted to the Company’s non-employee directors under the Company’s Non-employee Director Compensation Policy, which vest upon the Company’s 2023 annual shareholders meeting. The total fair value of units granted as annual grants to the non-employee directors in the first nine months of 2022 amounted to $700,000 ($nil in the first nine months of 2021).</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three and nine months ended September 30, 2022, a total of 339,007 and 396,691 units respectively were forfeited.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80"/>
        <w:spacing w:after="0" w:line="291" w:lineRule="auto"/>
        <w:rPr>
          <w:sz w:val="20"/>
          <w:szCs w:val="20"/>
          <w:color w:val="auto"/>
        </w:rPr>
      </w:pPr>
      <w:r>
        <w:rPr>
          <w:rFonts w:ascii="Arial" w:cs="Arial" w:eastAsia="Arial" w:hAnsi="Arial"/>
          <w:sz w:val="16"/>
          <w:szCs w:val="16"/>
          <w:color w:val="auto"/>
        </w:rPr>
        <w:t>During the three and nine months ended September 30, 2022, a total of $1.8 million and $5.7 million respectively (three and nine months ended September 30, 2021 - $35 thousand) was charged to the statement of loss and comprehensive loss as share-based compensation expense for RSUs. For the three and nine months ended September 30, 2022, a total of $0.9 million and $2.8 million respectively, was recorded in exploration and evaluation expenses (three and nine months ended September 30, 2021 - $nil). The amount recorded in general and administration expenses for three and nine months ended September 30, 2022 was $0.9 million and $3.0 million respectively (three and nine months ended September 30, 2021- $35 thousand). As at September 30, 2022, total unrecognized share-based compensation expense for RSUs was $7.7 million (December 31, 2021 - $12.3 million).</w:t>
      </w:r>
    </w:p>
    <w:p>
      <w:pPr>
        <w:spacing w:after="0" w:line="166" w:lineRule="exact"/>
        <w:rPr>
          <w:sz w:val="20"/>
          <w:szCs w:val="20"/>
          <w:color w:val="auto"/>
        </w:rPr>
      </w:pPr>
    </w:p>
    <w:p>
      <w:pPr>
        <w:ind w:left="380" w:right="500" w:hanging="38"/>
        <w:spacing w:after="0" w:line="477" w:lineRule="auto"/>
        <w:rPr>
          <w:sz w:val="20"/>
          <w:szCs w:val="20"/>
          <w:color w:val="auto"/>
        </w:rPr>
      </w:pPr>
      <w:r>
        <w:rPr>
          <w:rFonts w:ascii="Arial" w:cs="Arial" w:eastAsia="Arial" w:hAnsi="Arial"/>
          <w:sz w:val="18"/>
          <w:szCs w:val="18"/>
          <w:color w:val="auto"/>
        </w:rPr>
        <w:t xml:space="preserve">As at September 30, 2022, an aggregate of 19,284 vested units were outstanding and due to be converted into common shares. </w:t>
      </w:r>
      <w:r>
        <w:rPr>
          <w:rFonts w:ascii="Arial" w:cs="Arial" w:eastAsia="Arial" w:hAnsi="Arial"/>
          <w:sz w:val="18"/>
          <w:szCs w:val="18"/>
          <w:b w:val="1"/>
          <w:bCs w:val="1"/>
          <w:i w:val="1"/>
          <w:iCs w:val="1"/>
          <w:color w:val="auto"/>
        </w:rPr>
        <w:t>Employee Share Purchase Plan</w:t>
      </w:r>
    </w:p>
    <w:p>
      <w:pPr>
        <w:spacing w:after="0" w:line="1"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On May 31, 2022, TMC’s 2021 Employee Share Purchase Plan was approved at the Company’s 2022 annual shareholders meeting, including the approval of the issuance of up to 5,254,324 common shares under the ESPP. This included 2,254,324 shares added to the ESPP in January 2022 pursuant to the ESPP’s annual increase provision. As per the annual increase provision on the first day of each of the Company’s fiscal years after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92"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plan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ESPP includes the following limitations:</w:t>
      </w:r>
    </w:p>
    <w:p>
      <w:pPr>
        <w:spacing w:after="0" w:line="225"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employee’s contribution is limited to 15% of the employee’s annual gross earnings, not to exceed $25,000 per year,</w:t>
      </w:r>
    </w:p>
    <w:p>
      <w:pPr>
        <w:spacing w:after="0" w:line="34" w:lineRule="exact"/>
        <w:rPr>
          <w:rFonts w:ascii="Arial" w:cs="Arial" w:eastAsia="Arial" w:hAnsi="Arial"/>
          <w:sz w:val="17"/>
          <w:szCs w:val="17"/>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employee’s purchases in any offering period cannot exceed 15,000 common shares, and</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employee’s purchases are capped, not to exceed 5% of the Company’s total outstanding common shares</w:t>
      </w:r>
    </w:p>
    <w:p>
      <w:pPr>
        <w:spacing w:after="0" w:line="21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During the three and nine months ended September 30, 2022, a total of $39 thousand and $62 thousand respectively was charged to the condensed consolidated statement of loss and comprehensive loss. For the three and nine months ended September 30, 2022, a total of $12 thousand and $21 thousand respectively, was recorded in exploration and evaluation expenses. The amount recorded in general and administration expenses for three and nine months ended September 30, 2022 was $27 thousand and $41 thousand respectively. During the three and nine months ended September 30, 2022, the Company issued nil and 42,426 common shares respectively to its employees as part of its ESPP program.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Nine months ended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9"/>
              </w:rPr>
              <w:t>Nine months ended</w:t>
            </w:r>
          </w:p>
        </w:tc>
      </w:tr>
      <w:tr>
        <w:trPr>
          <w:trHeight w:val="148"/>
        </w:trPr>
        <w:tc>
          <w:tcPr>
            <w:tcW w:w="66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66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25,140,262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25,287,670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Outstanding RSUs</w:t>
            </w:r>
          </w:p>
        </w:tc>
        <w:tc>
          <w:tcPr>
            <w:tcW w:w="1260" w:type="dxa"/>
            <w:vAlign w:val="bottom"/>
          </w:tcPr>
          <w:p>
            <w:pPr>
              <w:jc w:val="right"/>
              <w:spacing w:after="0"/>
              <w:rPr>
                <w:sz w:val="20"/>
                <w:szCs w:val="20"/>
                <w:color w:val="auto"/>
              </w:rPr>
            </w:pPr>
            <w:r>
              <w:rPr>
                <w:rFonts w:ascii="Arial" w:cs="Arial" w:eastAsia="Arial" w:hAnsi="Arial"/>
                <w:sz w:val="18"/>
                <w:szCs w:val="18"/>
                <w:color w:val="auto"/>
              </w:rPr>
              <w:t>5,021,783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56,224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under ESPP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Outstanding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36,078,620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36,078,620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Special Shares and options to purchase Special Shares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136,239,964</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136,239,964</w:t>
            </w: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202,514,745</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197,662,478</w:t>
            </w:r>
          </w:p>
        </w:tc>
      </w:tr>
    </w:tbl>
    <w:p>
      <w:pPr>
        <w:spacing w:after="0" w:line="2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Company’s subsidiary, DeepGreen Engineering Pte. Ltd., is engaged in a consulting agreement with SSCS Pte. Ltd. (“SSCS”) to manage offshore engineering studies. A director of DGE is employed through SSCS. Consulting services during the three and nine months ended September 30, 2022 totaled $69 thousand and $206 thousand (three and nine months ended September 30, 2021 - $75 thousand and $213 thousand respectively) out of which for three and nine months ended September 30, 2022 a total of $55 thousand and $165 thousand, respectively (three and nine months ended September 30, 2021 - $60 thousand and $170 thousand, respectively) is disclosed as exploration labor within exploration and evaluation expenses (Note 4) and $14 thousand and $41 thousand respectively for three and nine months ended September 30, 2022 is disclosed as general and administration expenses (three and nine months ended September 30, 2021 - $15 thousand and $43 thousand respectively). As at September 30, 2022, the amount payable to SSCS was $nil (December 31, 2021 - $23 thousand).</w:t>
      </w:r>
    </w:p>
    <w:p>
      <w:pPr>
        <w:spacing w:after="0" w:line="18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three and nine months ended September 30, 2022 amounted to $94 thousand and $281 thousand respectively (three and nine months ended September 30, 2021 $93 thousand and $281 thousand), evenly apportioned between exploration and evaluation expenses (Note 4) and general and administration expenses for three and nine months ended September 30, 2022 and September 30, 2021. As at September 30, 2022, the amount payable to Ocean Renaissance was $nil (December 31, 2021 - $nil).</w:t>
      </w:r>
    </w:p>
    <w:p>
      <w:pPr>
        <w:spacing w:after="0" w:line="188"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PIPE Financing</w:t>
      </w:r>
    </w:p>
    <w:p>
      <w:pPr>
        <w:spacing w:after="0" w:line="229"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August 12, 2022, the Company entered into three securities purchase agreements for the private placement of an aggregate of 37,978,680 of the Company’s common shares. The Company entered into a securities purchase agreement (the “PIPE Purchase Agreement”) with the purchasers named therein (the “PIPE Purchasers”)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(the “Barron Purchase Agreement”), and a separate securities purchase agreement with ERAS Capital LLC, the family fund of the Company’s director, Andrei Karkar, for the issuance and sale of 6,250,000 common shares at a purchase price of $0.80 per share (the “ERAS Purchase Agreement”, together with the PIPE Purchase Agreement and the Barron Purchase Agreement, the “Purchase Agreements”). As at September 30, 2022, all of the 37,978,680 shares were issued and the Company received gross proceeds amounting to $30.4 million. The Company incurred $1.0 million as placement agent fees and offering expenses out of which expenses amounting to $0.2 million were settled by issuing 287,500 shares at issue price of $0.80 per share.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right="6440" w:hanging="332"/>
        <w:spacing w:after="0" w:line="532" w:lineRule="auto"/>
        <w:tabs>
          <w:tab w:leader="none" w:pos="3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7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7"/>
          <w:szCs w:val="17"/>
          <w:b w:val="1"/>
          <w:bCs w:val="1"/>
          <w:color w:val="auto"/>
        </w:rPr>
      </w:pPr>
    </w:p>
    <w:p>
      <w:pPr>
        <w:jc w:val="both"/>
        <w:ind w:left="34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Through DGE’s Marawa Option Agreement and Services Agreement with Marawa with respect to the Marawa Area, Marawa and DGE committed to spend a defined amount of funds on exploration activities on an annual basis. The commitment for fiscal 2022, 2023 and 2024 is Australian dollar (“AUD”) $1 million, AUD $3 million and AUD $2 million, respectively. Such commitment is negotiated with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85"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7"/>
          <w:szCs w:val="17"/>
          <w:b w:val="1"/>
          <w:bCs w:val="1"/>
          <w:color w:val="auto"/>
        </w:rPr>
      </w:pPr>
    </w:p>
    <w:p>
      <w:pPr>
        <w:jc w:val="both"/>
        <w:ind w:left="34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w:t>
      </w:r>
    </w:p>
    <w:p>
      <w:pPr>
        <w:spacing w:after="0" w:line="176" w:lineRule="exact"/>
        <w:rPr>
          <w:rFonts w:ascii="Arial" w:cs="Arial" w:eastAsia="Arial" w:hAnsi="Arial"/>
          <w:sz w:val="17"/>
          <w:szCs w:val="17"/>
          <w:b w:val="1"/>
          <w:bCs w:val="1"/>
          <w:color w:val="auto"/>
        </w:rPr>
      </w:pPr>
    </w:p>
    <w:p>
      <w:pPr>
        <w:jc w:val="both"/>
        <w:ind w:left="34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Company has spent approximately $13.3 million in connection with the TOML Exploration Contract from 2017 to 2021. The ISA has reviewed TOML’s periodic review report for the 2017-2021 period and submitted its initial findings at the end of September 2022, which management is currently reviewing.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color w:val="auto"/>
        </w:rPr>
        <w:t xml:space="preserve">On October 28, 2021, a shareholder filed a putative class action against the Company and certain of its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 Corp., Gerard Barron and Scott Leonard</w:t>
      </w:r>
      <w:r>
        <w:rPr>
          <w:rFonts w:ascii="Arial" w:cs="Arial" w:eastAsia="Arial" w:hAnsi="Arial"/>
          <w:sz w:val="16"/>
          <w:szCs w:val="16"/>
          <w:color w:val="auto"/>
        </w:rPr>
        <w:t>. The complaint alleges that all defendants violated Section 10(b)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Inc. </w:t>
      </w:r>
      <w:r>
        <w:rPr>
          <w:rFonts w:ascii="Arial" w:cs="Arial" w:eastAsia="Arial" w:hAnsi="Arial"/>
          <w:sz w:val="16"/>
          <w:szCs w:val="16"/>
          <w:color w:val="auto"/>
        </w:rPr>
        <w:t>These cases have been consolidated. On March 6, 2022, a lead plaintiff was selected. An amended complaint was</w:t>
      </w:r>
      <w:r>
        <w:rPr>
          <w:rFonts w:ascii="Arial" w:cs="Arial" w:eastAsia="Arial" w:hAnsi="Arial"/>
          <w:sz w:val="16"/>
          <w:szCs w:val="16"/>
          <w:i w:val="1"/>
          <w:iCs w:val="1"/>
          <w:color w:val="auto"/>
        </w:rPr>
        <w:t xml:space="preserve"> </w:t>
      </w:r>
      <w:r>
        <w:rPr>
          <w:rFonts w:ascii="Arial" w:cs="Arial" w:eastAsia="Arial" w:hAnsi="Arial"/>
          <w:sz w:val="16"/>
          <w:szCs w:val="16"/>
          <w:color w:val="auto"/>
        </w:rPr>
        <w:t>filed on May 12, 2022, reflecting substantially similar allegations. The Company denies any allegations of wrongdoing and the Company has filed and served the plaintiff a motion to dismiss on July 12, 2022 and intends to defend against this lawsuit. As of September 26, 2022, the motion to dismiss is fully briefed and the parties are awaiting a ruling.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7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79"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November 11, 2022, the Company’s Board of Directors agreed with management’s assessment that the criteria for the successful completion of the pilot trial of the PMTS in the NORI Area D, as prescribed in the Strategic Alliance Agreement (SAA) with Allseas, had been met.</w:t>
      </w:r>
    </w:p>
    <w:p>
      <w:pPr>
        <w:spacing w:after="0" w:line="183"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a result, the Company intends to settle the third and final payment of $10 million of the amended PMTA through the issuance of common shares in the fourth quarter of 2022, at a price of $1.00 per share, subject to regulatory approval (Note 4).</w:t>
      </w:r>
    </w:p>
    <w:p>
      <w:pPr>
        <w:spacing w:after="0" w:line="14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Similarly, with the successful completion of the pilot trial of the PMTS, the 11.6 million Allseas Warrants have vested and are exercisable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 of the 2021 Annual Report on Form 10-K, as updated and supplemented under the caption “Risk Factors” in Item 1A of Part II of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nine months ended September 30, 2022 and 2021, respectively, present the financial position and results of operations of TMC the metals company Inc. and its consolidated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obtains and maintains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the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key strategic alliances with (i) Allseas Group S.A. (“Allseas”), a leading global offshore contractor, which has developed and is currently testing a pilot collection system, expected to be modified into an initial smaller-scale commercial production system and serve as the basis for the design of a full-scale commercial production system and (ii) Glencore International AG (Glencore) holding offtake rights to 50% of NORI nickel and copper production from the NORI area. In addition, we have worked with engineering firm Hatch Ltd. and consultants Kingston Process Metallurgy Inc. to develop a near-zero solid waste flowsheet. The pyrometallurgical stages of the flowsheet were tested as part of our pilot plant program at FLSmidth &amp; Co. A/S’s and XPS Solutions’ (Glencore subsidiary) facilities and bench-scale hydrometallurgical refining work is being carried out with SGS SA. The near-zero solid waste flowsheet provides a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 Together with Epsilon Carbon, we selected a suitable plant site in India, developed and issued a Request for Proposal for Project Zero Pre-feasibility and Feasibility Study. Due to overstressed process engineering capacity across all markets with expertise in Rotary Kiln-Electric arc Furnace (“RKEF”) plants, compliant bids were received in September 2022 later than initially expected, and are currently under review.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 (ii) developing and testing an offshore nodule collection system, (iii) assessing the ESG impacts of offshore nodule collection, and (iv) developing and testing onshore technology and system to process collected polymetallic nodules into a manganese silicate product, and an intermediate nickel-copper-cobalt matte product and/or end-products like nickel and cobalt sulfates, and copper cathode.</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Third Quarter 2022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some of the major developments that occurred in the third quarter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NORI Area D Project:</w:t>
      </w:r>
    </w:p>
    <w:p>
      <w:pPr>
        <w:spacing w:after="0" w:line="225" w:lineRule="exact"/>
        <w:rPr>
          <w:sz w:val="20"/>
          <w:szCs w:val="20"/>
          <w:color w:val="auto"/>
        </w:rPr>
      </w:pPr>
    </w:p>
    <w:p>
      <w:pPr>
        <w:jc w:val="both"/>
        <w:ind w:left="680" w:hanging="321"/>
        <w:spacing w:after="0" w:line="261"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Project Zero Research</w:t>
      </w:r>
      <w:r>
        <w:rPr>
          <w:rFonts w:ascii="Arial" w:cs="Arial" w:eastAsia="Arial" w:hAnsi="Arial"/>
          <w:sz w:val="18"/>
          <w:szCs w:val="18"/>
          <w:color w:val="auto"/>
        </w:rPr>
        <w:t>: In July 2022, our Australian subsidiary entered into a research funding agreement with a consortium of</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w:t>
      </w:r>
    </w:p>
    <w:p>
      <w:pPr>
        <w:spacing w:after="0" w:line="179"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Pilot Collection System Trials and Monitoring Campaign:</w:t>
      </w:r>
    </w:p>
    <w:p>
      <w:pPr>
        <w:spacing w:after="0" w:line="225" w:lineRule="exact"/>
        <w:rPr>
          <w:rFonts w:ascii="Arial" w:cs="Arial" w:eastAsia="Arial" w:hAnsi="Arial"/>
          <w:sz w:val="18"/>
          <w:szCs w:val="18"/>
          <w:color w:val="auto"/>
        </w:rPr>
      </w:pPr>
    </w:p>
    <w:p>
      <w:pPr>
        <w:jc w:val="both"/>
        <w:ind w:left="1340" w:hanging="333"/>
        <w:spacing w:after="0" w:line="266"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ISA Recommendation: </w:t>
      </w:r>
      <w:r>
        <w:rPr>
          <w:rFonts w:ascii="Arial" w:cs="Arial" w:eastAsia="Arial" w:hAnsi="Arial"/>
          <w:sz w:val="18"/>
          <w:szCs w:val="18"/>
          <w:color w:val="auto"/>
        </w:rPr>
        <w:t>In September 2022, following the completion of its review of NORI’s Environmental Impact</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(EIS) and EMMP, the International Seabed Authority recommended that we proceed with independently monitored pilot collection system trials in NORI Area D in the CCZ.</w:t>
      </w:r>
    </w:p>
    <w:p>
      <w:pPr>
        <w:spacing w:after="0" w:line="175" w:lineRule="exact"/>
        <w:rPr>
          <w:rFonts w:ascii="Arial" w:cs="Arial" w:eastAsia="Arial" w:hAnsi="Arial"/>
          <w:sz w:val="18"/>
          <w:szCs w:val="18"/>
          <w:color w:val="auto"/>
        </w:rPr>
      </w:pPr>
    </w:p>
    <w:p>
      <w:pPr>
        <w:jc w:val="both"/>
        <w:ind w:left="1340" w:hanging="333"/>
        <w:spacing w:after="0" w:line="256"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Start of Trials and Campaign: </w:t>
      </w:r>
      <w:r>
        <w:rPr>
          <w:rFonts w:ascii="Arial" w:cs="Arial" w:eastAsia="Arial" w:hAnsi="Arial"/>
          <w:sz w:val="18"/>
          <w:szCs w:val="18"/>
          <w:color w:val="auto"/>
        </w:rPr>
        <w:t>With the ISA recommendation, the team of engineers at Allseas and scientists from</w:t>
      </w:r>
      <w:r>
        <w:rPr>
          <w:rFonts w:ascii="Arial" w:cs="Arial" w:eastAsia="Arial" w:hAnsi="Arial"/>
          <w:sz w:val="18"/>
          <w:szCs w:val="18"/>
          <w:b w:val="1"/>
          <w:bCs w:val="1"/>
          <w:color w:val="auto"/>
        </w:rPr>
        <w:t xml:space="preserve"> </w:t>
      </w:r>
      <w:r>
        <w:rPr>
          <w:rFonts w:ascii="Arial" w:cs="Arial" w:eastAsia="Arial" w:hAnsi="Arial"/>
          <w:sz w:val="18"/>
          <w:szCs w:val="18"/>
          <w:color w:val="auto"/>
        </w:rPr>
        <w:t>some of the world’s leading deep-sea research institutions and contractors, began technology trials and our impact monitoring campaign. The environmental and operational data gathered during these trials will be an important step in ensuring the safe and efficient collection of polymetallic nodules to meet expected demand for critical minerals for the clean energy transition and the ISA’s review of our expected submission of an application for an exploitation contract for the NORI Area 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Financing:</w:t>
      </w:r>
    </w:p>
    <w:p>
      <w:pPr>
        <w:spacing w:after="0" w:line="225" w:lineRule="exact"/>
        <w:rPr>
          <w:sz w:val="20"/>
          <w:szCs w:val="20"/>
          <w:color w:val="auto"/>
        </w:rPr>
      </w:pPr>
    </w:p>
    <w:p>
      <w:pPr>
        <w:jc w:val="both"/>
        <w:ind w:left="680" w:hanging="321"/>
        <w:spacing w:after="0" w:line="277"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PIPE Financing: </w:t>
      </w:r>
      <w:r>
        <w:rPr>
          <w:rFonts w:ascii="Arial" w:cs="Arial" w:eastAsia="Arial" w:hAnsi="Arial"/>
          <w:sz w:val="17"/>
          <w:szCs w:val="17"/>
          <w:color w:val="auto"/>
        </w:rPr>
        <w:t>On August 15, 2022, we announced a private placement financing which raised aggregate gross cash</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$30.4 million (approximately $30 million net proceeds, after deducting placement agent fees and offering expenses) through the issuance of approximately 38.0 million common shares. A majority of the committed funds came from our existing shareholders and insiders. We filed a resale registration statement for the common shares issued to the investors in the financing with the SEC on September 16, 2022, which the SEC declared effective on October 14,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UAW Agreement:</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September 2022, we announced that we had entered into a labor neutrality agreement with the International Union, United Automobile, Aerospace and Agricultural Implement Workers of America (“UAW”) designed to bolster the critical mineral supply chain, which we believe lays the groundwork for sustainable production of electric car batteries while also creates a path to potential job growth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Subsequent to September 30, 2022</w:t>
      </w:r>
    </w:p>
    <w:p>
      <w:pPr>
        <w:spacing w:after="0" w:line="225" w:lineRule="exact"/>
        <w:rPr>
          <w:sz w:val="20"/>
          <w:szCs w:val="20"/>
          <w:color w:val="auto"/>
        </w:rPr>
      </w:pPr>
    </w:p>
    <w:p>
      <w:pPr>
        <w:jc w:val="both"/>
        <w:ind w:left="680" w:hanging="321"/>
        <w:spacing w:after="0" w:line="256"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Board of Director Changes</w:t>
      </w:r>
      <w:r>
        <w:rPr>
          <w:rFonts w:ascii="Arial" w:cs="Arial" w:eastAsia="Arial" w:hAnsi="Arial"/>
          <w:sz w:val="18"/>
          <w:szCs w:val="18"/>
          <w:color w:val="auto"/>
        </w:rPr>
        <w:t>: On October 3, 2022, we announced the appointment of Andrew C. Greig to our Board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to replace outgoing director Gina Stryker. Mr. Greig brings extensive experience working on international construction projects in the mining sector during a 35-year career at leading engineering, procurement and construction company, Bechtel Group. On November 10, 2022, Mr. Greig was appointed to the Compensation Committee and on November 11, 2022, he was appointed as Lead Independent Director, replacing Andrew Hall. Mr. Hall will remain on the Board of Directors, including as a member of the Audit Committee.</w:t>
      </w:r>
    </w:p>
    <w:p>
      <w:pPr>
        <w:spacing w:after="0" w:line="187" w:lineRule="exact"/>
        <w:rPr>
          <w:rFonts w:ascii="Arial" w:cs="Arial" w:eastAsia="Arial" w:hAnsi="Arial"/>
          <w:sz w:val="18"/>
          <w:szCs w:val="18"/>
          <w:color w:val="auto"/>
        </w:rPr>
      </w:pPr>
    </w:p>
    <w:p>
      <w:pPr>
        <w:jc w:val="both"/>
        <w:ind w:left="680" w:hanging="321"/>
        <w:spacing w:after="0" w:line="29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NORI Collector Test Monitoring</w:t>
      </w:r>
      <w:r>
        <w:rPr>
          <w:rFonts w:ascii="Arial" w:cs="Arial" w:eastAsia="Arial" w:hAnsi="Arial"/>
          <w:sz w:val="16"/>
          <w:szCs w:val="16"/>
          <w:color w:val="auto"/>
        </w:rPr>
        <w:t>: On October 5, 2022, we announced that a multidisciplinary team of independent scientists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leading research institutions around the world and industry-leading contractors commenced the next phase of an extensive environmental baseline and impact monitoring campaign in preparation for NORI’s ongoing pilot nodule collection system trials in NORI Area D area of the CCZ. Scientists aboard a dedicated 103-meter-long monitoring vessel conducted pre-disturbance monitoring studies on a sub-section of the NORI Area D exploration area to establish an environmental baseline before NORI’s offshore strategic partner, Allseas, began testing a system consisting of a prototype nodule collector at the seafloor connected to a riser system to bring nodules to the surface production vessel, </w:t>
      </w:r>
      <w:r>
        <w:rPr>
          <w:rFonts w:ascii="Arial" w:cs="Arial" w:eastAsia="Arial" w:hAnsi="Arial"/>
          <w:sz w:val="16"/>
          <w:szCs w:val="16"/>
          <w:i w:val="1"/>
          <w:iCs w:val="1"/>
          <w:color w:val="auto"/>
        </w:rPr>
        <w:t>Hidden Gem</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680" w:hanging="321"/>
        <w:spacing w:after="0" w:line="255"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NORI Collector Test Milestone</w:t>
      </w:r>
      <w:r>
        <w:rPr>
          <w:rFonts w:ascii="Arial" w:cs="Arial" w:eastAsia="Arial" w:hAnsi="Arial"/>
          <w:sz w:val="18"/>
          <w:szCs w:val="18"/>
          <w:color w:val="auto"/>
        </w:rPr>
        <w:t>: On October 12, 2022, we announced the successful collection of an initial batch of seafloor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polymetallic nodules, which were lifted up a 4-kilometer-long riser system to the surface, in what represents the first integrated collection system test conducted in the CCZ since the 1970s. The dedicated team of 130 crew and engineers aboard the </w:t>
      </w:r>
      <w:r>
        <w:rPr>
          <w:rFonts w:ascii="Arial" w:cs="Arial" w:eastAsia="Arial" w:hAnsi="Arial"/>
          <w:sz w:val="18"/>
          <w:szCs w:val="18"/>
          <w:i w:val="1"/>
          <w:iCs w:val="1"/>
          <w:color w:val="auto"/>
        </w:rPr>
        <w:t>Hidden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Gem </w:t>
      </w:r>
      <w:r>
        <w:rPr>
          <w:rFonts w:ascii="Arial" w:cs="Arial" w:eastAsia="Arial" w:hAnsi="Arial"/>
          <w:sz w:val="18"/>
          <w:szCs w:val="18"/>
          <w:color w:val="auto"/>
        </w:rPr>
        <w:t>commenced initial nodule collection runs, driving the pilot collector 147 meters in one hour on a pre-determined path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collecting 14 tonnes of nodules, while expert industry contractors and independent scientists continued their complex monitoring program to assess the environmental impacts of the collector system trials using an array of over 50 subsea sensors and monitoring stations.</w:t>
      </w:r>
    </w:p>
    <w:p>
      <w:pPr>
        <w:spacing w:after="0" w:line="188" w:lineRule="exact"/>
        <w:rPr>
          <w:rFonts w:ascii="Arial" w:cs="Arial" w:eastAsia="Arial" w:hAnsi="Arial"/>
          <w:sz w:val="18"/>
          <w:szCs w:val="18"/>
          <w:color w:val="auto"/>
        </w:rPr>
      </w:pPr>
    </w:p>
    <w:p>
      <w:pPr>
        <w:jc w:val="both"/>
        <w:ind w:left="680" w:hanging="321"/>
        <w:spacing w:after="0" w:line="25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Executive Changes</w:t>
      </w:r>
      <w:r>
        <w:rPr>
          <w:rFonts w:ascii="Arial" w:cs="Arial" w:eastAsia="Arial" w:hAnsi="Arial"/>
          <w:sz w:val="18"/>
          <w:szCs w:val="18"/>
          <w:color w:val="auto"/>
        </w:rPr>
        <w:t>: On October 20, 2022, we announced the appointment of Grant Lindner as Project Director for NORI, as</w:t>
      </w:r>
      <w:r>
        <w:rPr>
          <w:rFonts w:ascii="Arial" w:cs="Arial" w:eastAsia="Arial" w:hAnsi="Arial"/>
          <w:sz w:val="18"/>
          <w:szCs w:val="18"/>
          <w:b w:val="1"/>
          <w:bCs w:val="1"/>
          <w:color w:val="auto"/>
        </w:rPr>
        <w:t xml:space="preserve"> </w:t>
      </w:r>
      <w:r>
        <w:rPr>
          <w:rFonts w:ascii="Arial" w:cs="Arial" w:eastAsia="Arial" w:hAnsi="Arial"/>
          <w:sz w:val="18"/>
          <w:szCs w:val="18"/>
          <w:color w:val="auto"/>
        </w:rPr>
        <w:t>we look to potentially commercialize our first polymetallic nodule project in the NORI Area D. Mr. Lindner has delivered over $26 billion in project value during his 25-year career at Bechtel Group and BHP, holding senior executive roles for large-scale mining, smelter and refinery, material handling and marine projects. Mr. Lindner will play a key role in advancing all areas of the NORI Area D project including the submission of the Environmental Impact Assessment and exploitation application to the ISA, and the safe delivery of offshore and onshore development plans. We also announced that Anthony O’Sullivan had tendered his resignation on October 14, 2022 for personal and health reasons, although he will remain in the position through a twelve-month transition period.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77"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Successful Conclusion of NORI Collector Test: </w:t>
      </w:r>
      <w:r>
        <w:rPr>
          <w:rFonts w:ascii="Arial" w:cs="Arial" w:eastAsia="Arial" w:hAnsi="Arial"/>
          <w:sz w:val="17"/>
          <w:szCs w:val="17"/>
          <w:color w:val="auto"/>
        </w:rPr>
        <w:t>On November 14, 2022, we announced that NORI and Allseas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successfully concluded the first integrated system test in the Clarion Clipperton Zone of the Pacific Ocean since the 1970s, achieving all significant pilot milestones while collecting approximately 4,500 tonnes of seafloor polymetallic nodules. Over 3,000 tonnes were transported up a 4.3-kilometer-long riser system to the surface production vessel, </w:t>
      </w:r>
      <w:r>
        <w:rPr>
          <w:rFonts w:ascii="Arial" w:cs="Arial" w:eastAsia="Arial" w:hAnsi="Arial"/>
          <w:sz w:val="17"/>
          <w:szCs w:val="17"/>
          <w:i w:val="1"/>
          <w:iCs w:val="1"/>
          <w:color w:val="auto"/>
        </w:rPr>
        <w:t>Hidden Gem</w:t>
      </w:r>
      <w:r>
        <w:rPr>
          <w:rFonts w:ascii="Arial" w:cs="Arial" w:eastAsia="Arial" w:hAnsi="Arial"/>
          <w:sz w:val="17"/>
          <w:szCs w:val="17"/>
          <w:color w:val="auto"/>
        </w:rPr>
        <w:t>, while the additional 1,500 tonnes of nodules were purposely left behind on the seafloor as part of the trials.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Marawa, an entity owned and sponsored by Kiribati, was granted the Marawa Exploration Contract on May 30, 2012. DGE, our wholly-owned subsidiary, entered into agreements with Marawa and Kiribati which provide DGE with exclusive exploration and exploitation (if awarded)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ectPr>
          <w:pgSz w:w="11900" w:h="16838" w:orient="portrait"/>
          <w:cols w:equalWidth="0" w:num="1">
            <w:col w:w="9920"/>
          </w:cols>
          <w:pgMar w:left="980" w:top="530"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TOML, our wholly-owned subsidiary, was granted an exploration contract on January 11, 2012 by the ISA and sponsored by the Kingdom of Tonga pursuant to the TOML Exploration Contract . TOML was acquired by us on March 31, 2020 for $32 million from Deep Sea Mining Finance Ltd. (“DSMF”). The TOML Exploration Contract provides TOML with exclusive rights to explore for polymetallic nodules in an area covering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Item 1A of Part I of the 2021 Annual Report on Form 10-K, as updated and supplemented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 in Item 1A of Part II of this Quarterly Report on Form 10-Q, as further updated and/or supplemented in subsequent filings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Inflation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pre-revenue company, persistent inflation may affect our ultimate cash requirements prior to our ability to begin commercial production.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2022, the global inflation rate has risen sharply. Marine fuel prices and vessel day rates are higher year-over-year and have increased our exploration expenses beyond what we had originally expected. Additionally, we are experiencing higher offshore labor costs through our contractors due to an upturn in the offshore oil and gas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committed to adopting the Task Force on Climate-Related Financial Disclosures recommendations. In our first inaugural impact report published in May 2022, we provided climate-related disclosures and shared how we believe our mission is aligned with supporting a clean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on climate change and create value.</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 as disclosed in our 2021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During the third quarter of 2022, active work comprised the commencement of deep-water test of the full collector system deployed from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in the NORI Area D project area in the CCZ. There were COVID-19 outbreaks, but these were effectively managed and had no impact on the project schedule and delivery of the collector test.</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 of the 2021 Annual Report on Form 10-K, as updated and supplemented under the caption “Risk Factors” in Item 1A of Part II of this Quarterly Report on Form 10-Q, as further updated and/or supplemented in subsequent filings with the SEC for more information. We are unable to predict the full impact that the COVID-19 pandemic will have on our future results of operations, liquidity</w:t>
      </w:r>
    </w:p>
    <w:p>
      <w:pPr>
        <w:sectPr>
          <w:pgSz w:w="11900" w:h="16838" w:orient="portrait"/>
          <w:cols w:equalWidth="0" w:num="1">
            <w:col w:w="9920"/>
          </w:cols>
          <w:pgMar w:left="980" w:top="530"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disclosed in our 2021 Annual Report on Form 10-K, we have restated our financial statements as of and for the three and six-months period ended June 30, 2021 in the accompanying unaudited condensed consolidated financial statements included in this Quarterly Report on Form 10-Q.</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restatement resulted from the following items: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invoices for exploration expenses were not appropriately accrued as of June 30, 2021, resulting in a $2.7 million understatement of each of exploration expenses and accounts payable and accrued liabilities as of and for the six-month period ended June 30, 2021; and</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expensing of options granted in the first quarter of 2021 under the Company’s Short-Term Incentive Plan (“STIP”) based on the grantee’s historical start date with us rather than the grant date of the options on March 4, 2021, as required by US Generally Accepted Accounting Principles (“U.S. GAAP”), resulting in a $1.8 million overstatement of stock-based compensation expenses as of and for the three-month period ended March 31, 2021, and $0.3 million understatement and $1.5 million overstatement of stock-based compensation expenses as of and for the six month period ended June 30,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an exploration-stage company with no revenue to date and a net loss of $25.9 million and $59.4 million for the three and nine months ended September 30, 2022, respectively, compared to a net loss of $36.7 million and $121.5 million in the same periods of 2021, respectively. We have an accumulated deficit of approximately $363.6 million from inception through September 30, 2022.</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in the first nine months of 2021 resulted from our financing transactions, specifically the convertible debentures issued in February 2021, which accrued interest at 7% per annum. The convertible debentures were fully converted into DeepGreen common shares on September 9, 2021. Interest income recorded in the first nine months of 2022 resulted from the interest earned on the funds we received from the Business Combination which closed in September 2021 and from the PIPE financing which closed in August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nine months ended September 30, 2022 and 2021. Our accounting policies are described in Note 3 “Summary of Significant Accounting Policies” in our financial statements filed as part of the 2021 Annual Report on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as noted)</w:t>
            </w:r>
          </w:p>
        </w:tc>
        <w:tc>
          <w:tcPr>
            <w:tcW w:w="840" w:type="dxa"/>
            <w:vAlign w:val="bottom"/>
          </w:tcPr>
          <w:p>
            <w:pPr>
              <w:spacing w:after="0"/>
              <w:rPr>
                <w:sz w:val="14"/>
                <w:szCs w:val="14"/>
                <w:color w:val="auto"/>
              </w:rPr>
            </w:pPr>
          </w:p>
        </w:tc>
        <w:tc>
          <w:tcPr>
            <w:tcW w:w="262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4"/>
                <w:szCs w:val="14"/>
                <w:color w:val="auto"/>
              </w:rPr>
            </w:pPr>
          </w:p>
        </w:tc>
        <w:tc>
          <w:tcPr>
            <w:tcW w:w="26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9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4"/>
              </w:rPr>
              <w:t>% Change</w:t>
            </w:r>
          </w:p>
        </w:tc>
        <w:tc>
          <w:tcPr>
            <w:tcW w:w="76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(Restated)</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(Restated)</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$ 22,663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$ 23,848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5,944</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13,334</w:t>
            </w:r>
          </w:p>
        </w:tc>
        <w:tc>
          <w:tcPr>
            <w:tcW w:w="160" w:type="dxa"/>
            <w:vAlign w:val="bottom"/>
          </w:tcPr>
          <w:p>
            <w:pPr>
              <w:spacing w:after="0"/>
              <w:rPr>
                <w:sz w:val="18"/>
                <w:szCs w:val="18"/>
                <w:color w:val="auto"/>
              </w:rPr>
            </w:pPr>
          </w:p>
        </w:tc>
        <w:tc>
          <w:tcPr>
            <w:tcW w:w="900" w:type="dxa"/>
            <w:vAlign w:val="bottom"/>
            <w:gridSpan w:val="2"/>
          </w:tcPr>
          <w:p>
            <w:pPr>
              <w:jc w:val="right"/>
              <w:ind w:right="8"/>
              <w:spacing w:after="0" w:line="216" w:lineRule="exact"/>
              <w:rPr>
                <w:sz w:val="20"/>
                <w:szCs w:val="20"/>
                <w:color w:val="auto"/>
              </w:rPr>
            </w:pPr>
            <w:r>
              <w:rPr>
                <w:rFonts w:ascii="Arial" w:cs="Arial" w:eastAsia="Arial" w:hAnsi="Arial"/>
                <w:sz w:val="16"/>
                <w:szCs w:val="16"/>
                <w:color w:val="auto"/>
              </w:rPr>
              <w:t>(55)</w:t>
            </w:r>
            <w:r>
              <w:rPr>
                <w:rFonts w:ascii="Arial" w:cs="Arial" w:eastAsia="Arial" w:hAnsi="Arial"/>
                <w:sz w:val="25"/>
                <w:szCs w:val="25"/>
                <w:color w:val="auto"/>
                <w:vertAlign w:val="subscript"/>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41,138</w:t>
            </w:r>
          </w:p>
        </w:tc>
        <w:tc>
          <w:tcPr>
            <w:tcW w:w="140" w:type="dxa"/>
            <w:vAlign w:val="bottom"/>
          </w:tcPr>
          <w:p>
            <w:pPr>
              <w:spacing w:after="0"/>
              <w:rPr>
                <w:sz w:val="18"/>
                <w:szCs w:val="18"/>
                <w:color w:val="auto"/>
              </w:rPr>
            </w:pPr>
          </w:p>
        </w:tc>
        <w:tc>
          <w:tcPr>
            <w:tcW w:w="860" w:type="dxa"/>
            <w:vAlign w:val="bottom"/>
            <w:gridSpan w:val="3"/>
          </w:tcPr>
          <w:p>
            <w:pPr>
              <w:jc w:val="right"/>
              <w:spacing w:after="0" w:line="216" w:lineRule="exact"/>
              <w:rPr>
                <w:sz w:val="20"/>
                <w:szCs w:val="20"/>
                <w:color w:val="auto"/>
              </w:rPr>
            </w:pPr>
            <w:r>
              <w:rPr>
                <w:rFonts w:ascii="Arial" w:cs="Arial" w:eastAsia="Arial" w:hAnsi="Arial"/>
                <w:sz w:val="16"/>
                <w:szCs w:val="16"/>
                <w:color w:val="auto"/>
              </w:rPr>
              <w:t>(45)</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liability</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900" w:type="dxa"/>
            <w:vAlign w:val="bottom"/>
            <w:gridSpan w:val="2"/>
            <w:shd w:val="clear" w:color="auto" w:fill="CCEEFF"/>
          </w:tcPr>
          <w:p>
            <w:pPr>
              <w:jc w:val="right"/>
              <w:ind w:right="8"/>
              <w:spacing w:after="0" w:line="216" w:lineRule="exact"/>
              <w:rPr>
                <w:sz w:val="20"/>
                <w:szCs w:val="20"/>
                <w:color w:val="auto"/>
              </w:rPr>
            </w:pPr>
            <w:r>
              <w:rPr>
                <w:rFonts w:ascii="Arial" w:cs="Arial" w:eastAsia="Arial" w:hAnsi="Arial"/>
                <w:sz w:val="16"/>
                <w:szCs w:val="16"/>
                <w:color w:val="auto"/>
              </w:rPr>
              <w:t>(60)</w:t>
            </w:r>
            <w:r>
              <w:rPr>
                <w:rFonts w:ascii="Arial" w:cs="Arial" w:eastAsia="Arial" w:hAnsi="Arial"/>
                <w:sz w:val="25"/>
                <w:szCs w:val="25"/>
                <w:color w:val="auto"/>
                <w:vertAlign w:val="subscript"/>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86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2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gridSpan w:val="2"/>
          </w:tcPr>
          <w:p>
            <w:pPr>
              <w:jc w:val="right"/>
              <w:ind w:right="8"/>
              <w:spacing w:after="0" w:line="216" w:lineRule="exact"/>
              <w:rPr>
                <w:sz w:val="20"/>
                <w:szCs w:val="20"/>
                <w:color w:val="auto"/>
              </w:rPr>
            </w:pPr>
            <w:r>
              <w:rPr>
                <w:rFonts w:ascii="Arial" w:cs="Arial" w:eastAsia="Arial" w:hAnsi="Arial"/>
                <w:sz w:val="16"/>
                <w:szCs w:val="16"/>
                <w:color w:val="auto"/>
              </w:rPr>
              <w:t>(320)</w:t>
            </w:r>
            <w:r>
              <w:rPr>
                <w:rFonts w:ascii="Arial" w:cs="Arial" w:eastAsia="Arial" w:hAnsi="Arial"/>
                <w:sz w:val="25"/>
                <w:szCs w:val="25"/>
                <w:color w:val="auto"/>
                <w:vertAlign w:val="subscript"/>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60" w:type="dxa"/>
            <w:vAlign w:val="bottom"/>
            <w:gridSpan w:val="3"/>
          </w:tcPr>
          <w:p>
            <w:pPr>
              <w:jc w:val="right"/>
              <w:spacing w:after="0" w:line="216" w:lineRule="exact"/>
              <w:rPr>
                <w:sz w:val="20"/>
                <w:szCs w:val="20"/>
                <w:color w:val="auto"/>
              </w:rPr>
            </w:pPr>
            <w:r>
              <w:rPr>
                <w:rFonts w:ascii="Arial" w:cs="Arial" w:eastAsia="Arial" w:hAnsi="Arial"/>
                <w:sz w:val="16"/>
                <w:szCs w:val="16"/>
                <w:color w:val="auto"/>
              </w:rPr>
              <w:t>(119)</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
              <w:spacing w:after="0" w:line="216" w:lineRule="exact"/>
              <w:rPr>
                <w:sz w:val="20"/>
                <w:szCs w:val="20"/>
                <w:color w:val="auto"/>
              </w:rPr>
            </w:pPr>
            <w:r>
              <w:rPr>
                <w:rFonts w:ascii="Arial" w:cs="Arial" w:eastAsia="Arial" w:hAnsi="Arial"/>
                <w:sz w:val="16"/>
                <w:szCs w:val="16"/>
                <w:color w:val="auto"/>
              </w:rPr>
              <w:t>(203)</w:t>
            </w:r>
            <w:r>
              <w:rPr>
                <w:rFonts w:ascii="Arial" w:cs="Arial" w:eastAsia="Arial" w:hAnsi="Arial"/>
                <w:sz w:val="25"/>
                <w:szCs w:val="25"/>
                <w:color w:val="auto"/>
                <w:vertAlign w:val="subscript"/>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6"/>
                <w:szCs w:val="16"/>
                <w:color w:val="auto"/>
              </w:rPr>
              <w:t>(154)</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Loss for the period</w:t>
            </w:r>
          </w:p>
        </w:tc>
        <w:tc>
          <w:tcPr>
            <w:tcW w:w="8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$ 27,894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$ 36,651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$ 61,395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121,501</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reported a net loss of $27.9 million in the third quarter of 2022, compared to $36.7 million in the same period of 2021. The following explains the major reasons for the reduction in the net loss in the third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Exploration and evaluation expenses for the three months ended September 30, 2022 were $22.7 million, compared to $23.8 million for the same period in 2021. The decrease of $1.2 million was primarily due to a decrease in environmental studies of $3.4 million, due to the completion of the NORI Area D baseline campaigns in the fourth quarter of 2021 and a reduction in share-based compensation of $1.4 million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The above expense reductions were partially offset by increased work on the PMTS which progressed in the third quarter of 2022 resulting in increased expenses of $3.7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G&amp;A expenses for the three months ended September 30, 2022 were $5.9 million compared to $13.3 million for the same period in 2021. The decrease of $7.4 million in G&amp;A expenses was mainly the result of lower share-based compensation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This decrease was partially offset by higher G&amp;A expenses in the third quarter of 2022, reflecting an increase in personnel, legal and other expenses associated with being a public company. The third quarter of 2021 also included higher expenses for consulting and communications related to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fair value of warrants liability during the third quarter of 2022 resulted in a credit of $0.4 million. The credit was primarily due to a 15% decrease in the price of our warrants in the third quarter of 2022. The warrants liability was initially recorded as part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a net loss of $59.5 million in the first nine months of 2022, compared to $121.5 million in the same period of 2021. The following explains the major reasons for the reduction in the net loss in the first nine months of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Exploration and evaluation expenses for the nine months ended September 30, 2022 were $40.3 million, compared to $80.2 million for the same period in 2021. The decrease of $39.8 million was primarily due to a decrease in environmental studies of $23.5 million, due to the completion of the NORI Area D environmental baseline campaigns in the fourth quarter of 2021. In the first nine months of 2021, offshore campaign costs in support of environmental studies included a fair value increase of $12.2 million that was recognized on the issuance of DeepGreen common shares to Maersk Supply Service A/S (“Maersk”). The decrease in the first nine months of 2022 also reflects a reduction in share-based compensation of $23.2 million, as a significant number of stock options were awarded in March 2021, in recognition of past services and in anticipation of the Business Combination, while no stock options were awarded in the first nine months of 2022. The above expense reductions were partially offset by increased work on the PMTS which progressed in the first nine months of 2022 resulting in increased expenses of $6.4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G&amp;A expenses for the nine months ended September 30, 2022 were $22.5 million compared to $41.1 million for the same period in 2021. The decrease of $18.6 million in G&amp;A expenses in the first nine months of 2022 was mainly the result of lower share-based compensation in the 2022 period as the first nine months of 2021 included the award of a significant number of stock options in recognition of past services and in anticipation of the Business Combination. This decrease was partially offset by higher G&amp;A expenses in the first nine months of 2022, reflecting an increase in personnel, legal and other expenses associated with being a public company. In addition, the first nine months of 2021 included higher expenses for consulting and communications related to the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fair value of warrants liability during the first nine months of 2022 resulted in a credit of $0.9 million, similar to the same period of 2021. The credit was primarily due to a 39% decrease in the price of our warrants in the first nine months of 2022. The warrants liability was initially recorded as part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receiving gross cash proceeds of $137.6 million ($104.5 million net of transaction fees), followed by a PIPE financing that we announced on August 15, 2022, which resulted with gross cash proceeds of $30.4 million (approximately $30 million net of transaction fees). As of September 30, 2022, we had cash on hand of $66.9 million.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9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16, 2022, we filed a registration statement on Form S-3 with the Securities and Exchange Commission, which the SEC declared effective on October 14, 2022, to sell up to $100 million of securities, before any fees or expenses of the offering.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2022 and September 30,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color w:val="auto"/>
              </w:rPr>
              <w:t>(thousands)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 Restated</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2021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(Decrease) increase in cash</w:t>
            </w:r>
          </w:p>
        </w:tc>
        <w:tc>
          <w:tcPr>
            <w:tcW w:w="14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95,744</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30"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for the nine months ended September 30, 2022 was $46.8 million, attributable to a net loss of $59.4 million and an increase in net operating assets and liabilities of $2.9 million, partially offset by non-cash adjustments of $15.5 million. Non-cash adjustments primarily consisted of $16.1 million of expenses settled with share-based payments, partially offset by $0.9 million related to the decrease in the fair value of the Private Warrants, mainly as a result of the decrease in our share price during the first nine months of 2022. The increase in our net operating assets and liabilities was primarily due to a $1.5 million decrease in accounts payable and accrued liabilities in the 2022 period due to the timing of supplier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2022 was $1.0 million for the purchase of equipment, as compared to $3.8 million in the first nine months of 2021, which related primarily to the initial payments made to DSMF in connection with our acquisition of TOML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2022 was $29.8 million, compared to $134.7 million provided by financing activities in the first nine months of 2021. The 2022 results represent the net proceeds from the PIPE financing which we announced in August 2022, while the 2021 comparative includes the net proceeds from the Business Combination of $104.7 million, $26.0 million from the issuance of convertible debentures in February 2021 and $4.2 million from the exercise of incentive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 We filed a resale registration statement for the common shares issued to the investors in the financing with the SEC on September 16, 2022, which the SEC declared effective on October 14,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part of the NORI Exploration Contract with the ISA, NORI submitted a periodic review report to the ISA in 2021, covering the 2017-2021 period. The periodic review report included a summary of work completed over the previous 5-year period (2017 to 2021) and a work plan and estimated budget for the next five-year period (2022 to 2026).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through the issuance of the Company’s shares.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our progress to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between Marawa and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 The ISA has reviewed TOML’s periodic review report for the 2017-2021 period and submitted its initial findings at the end of September 2022, which management is currently reviewing.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obtains and maintains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will pay an administration fee each year to Tonga for such administration and sponsorship, which is subject to review and increase in the event TOML is granted an ISA exploitation contract. On September 23, 2021, Tonga updated the TOML Sponsorship Agreement harmonizing the terms of its engagement with TOML with those held by NORI with Nauru.</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On March 16, 2022, NORI and Allseas entered into a non-binding term sheet for the development and operation of a commercial nodule collection system. The pilot nodule collection system developed and currently being tested by Allseas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Arial" w:cs="Arial" w:eastAsia="Arial" w:hAnsi="Arial"/>
          <w:sz w:val="16"/>
          <w:szCs w:val="16"/>
          <w:i w:val="1"/>
          <w:iCs w:val="1"/>
          <w:color w:val="auto"/>
        </w:rPr>
        <w:t>Hidden Gem</w:t>
      </w:r>
      <w:r>
        <w:rPr>
          <w:rFonts w:ascii="Arial" w:cs="Arial" w:eastAsia="Arial" w:hAnsi="Arial"/>
          <w:sz w:val="16"/>
          <w:szCs w:val="16"/>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made the second $10 million payment to Allseas under the PMTA on April 25, 2022, following the successful completion of the North Sea drive test. The third and final $10 million payment to Allseas became due upon successful completion of the pilot trial of the PMTS in NORI Area D, which we intend to settle through the issuance of common shares in the fourth quarter of 2022, at a price of $1.00 per share, subject to regulatory approval. Additionally, with the successful completion of the pilot trial, the Allseas Warrants vested and are exercisable for 11.6 million common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Initial Assessment and TOML Mineral Resource Statement do not include the conversion of mineral resources to mineral reserves.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September 30,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225"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23"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ind w:left="680" w:hanging="321"/>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completed the transition from our outsourced accounting service provider to our in-house finance and accounting function;</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ind w:left="680" w:right="2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ind w:left="68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hired external experts to work with our internal team to assist with our project to design and implement robust controls over all our key processes and address all key company risks; and</w:t>
      </w:r>
    </w:p>
    <w:p>
      <w:pPr>
        <w:ind w:left="680" w:right="20" w:hanging="321"/>
        <w:spacing w:after="0" w:line="26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added formality and rigor to our financial reporting process by continuously developing structured roles, policies, processes, procedures and controls.</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and nine months ended September 30, 2022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On September 20, 2021, we commenced litigation in the New York Supreme Court, New York County against two investors who failed to fund their PIPE commitments in connection with the closing of the Business Combination. These actions are captioned </w:t>
      </w:r>
      <w:r>
        <w:rPr>
          <w:rFonts w:ascii="Arial" w:cs="Arial" w:eastAsia="Arial" w:hAnsi="Arial"/>
          <w:sz w:val="16"/>
          <w:szCs w:val="16"/>
          <w:i w:val="1"/>
          <w:iCs w:val="1"/>
          <w:color w:val="auto"/>
        </w:rPr>
        <w:t xml:space="preserve">Sustainable Opportunities Acquisition Corp. n/k/a TMC the metals company Inc. v. Ethos Fund I, LP, Ethos GP, LLC, Ethos DeepGreen PIPE, LLC, and Ethos Manager, LLC, </w:t>
      </w:r>
      <w:r>
        <w:rPr>
          <w:rFonts w:ascii="Arial" w:cs="Arial" w:eastAsia="Arial" w:hAnsi="Arial"/>
          <w:sz w:val="16"/>
          <w:szCs w:val="16"/>
          <w:color w:val="auto"/>
        </w:rPr>
        <w:t>Index No. 655527/2021 (N.Y. Sup. Ct.) and</w:t>
      </w:r>
      <w:r>
        <w:rPr>
          <w:rFonts w:ascii="Arial" w:cs="Arial" w:eastAsia="Arial" w:hAnsi="Arial"/>
          <w:sz w:val="16"/>
          <w:szCs w:val="16"/>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Arial" w:cs="Arial" w:eastAsia="Arial" w:hAnsi="Arial"/>
          <w:sz w:val="16"/>
          <w:szCs w:val="16"/>
          <w:color w:val="auto"/>
        </w:rPr>
        <w:t>, Index No. 655528/2021 (N.Y. Sup. Ct.). The operative complaints allege that the investors breached</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That motion is pending. There can be no assurances, however, that we will be successful in our efforts against these investors.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October 28, 2021, a shareholder filed a putative class action against us, one of our executive and former Director in federal district court for the Eastern District of New York, styled </w:t>
      </w:r>
      <w:r>
        <w:rPr>
          <w:rFonts w:ascii="Arial" w:cs="Arial" w:eastAsia="Arial" w:hAnsi="Arial"/>
          <w:sz w:val="17"/>
          <w:szCs w:val="17"/>
          <w:i w:val="1"/>
          <w:iCs w:val="1"/>
          <w:color w:val="auto"/>
        </w:rPr>
        <w:t>Caper v. TMC The Metals Company Inc. F/K/A Sustainable Opportunities</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Corp., Gerard Barron and Scott Leonard</w:t>
      </w:r>
      <w:r>
        <w:rPr>
          <w:rFonts w:ascii="Arial" w:cs="Arial" w:eastAsia="Arial" w:hAnsi="Arial"/>
          <w:sz w:val="17"/>
          <w:szCs w:val="17"/>
          <w:color w:val="auto"/>
        </w:rPr>
        <w:t>. The complaint alleges that all defendants violated Section 10(b) of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Arial" w:cs="Arial" w:eastAsia="Arial" w:hAnsi="Arial"/>
          <w:sz w:val="17"/>
          <w:szCs w:val="17"/>
          <w:i w:val="1"/>
          <w:iCs w:val="1"/>
          <w:color w:val="auto"/>
        </w:rPr>
        <w:t>Tran v. TMC the Metals Company, Inc.</w:t>
      </w:r>
      <w:r>
        <w:rPr>
          <w:rFonts w:ascii="Arial" w:cs="Arial" w:eastAsia="Arial" w:hAnsi="Arial"/>
          <w:sz w:val="17"/>
          <w:szCs w:val="17"/>
          <w:color w:val="auto"/>
        </w:rPr>
        <w:t xml:space="preserve"> These cases have been consolidated. On March 6, 2022, a lead plaintiff was selected. An amended complaint was filed on May 12, 2022, reflecting substantially similar allegations. We deny any allegations of wrongdoing and have filed and served the plaintiff a motion to dismiss on July 12, 2022 and intend to defend against this lawsuit. As of September 26, 2022, the motion to dismiss is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received letters from the SEC notifying us of an investigation and requesting the voluntary production of documents and information regarding the Company’s March 31, 2020 acquisition of Tonga Offshore Mining Limited from Deep Sea Mining Finance Ltd. and the business combination, completed September 9, 2021, between DeepGreen Metals Inc. and Sustainable Opportunities Acquisition Corporation that led to the Company’s formation. The Company is continuing to cooperate with the investigation and respond voluntarily to the SEC’s requests.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consolidated financial condition or results of operations set forth under Item 1A. Risk Factors in our 2021 Annual Report on Form 10-K and the Form 10-Q filed on August 15, 2022. There have been no material changes from or additions to the risk factors disclosed in our 2021 Annual Report on Form 10-K and the Form 10-Q filed on August 15, 2022. We may disclose changes to risk factors or additional factors from time to time in our future filings with the SEC.</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w:t>
      </w:r>
    </w:p>
    <w:p>
      <w:pPr>
        <w:spacing w:after="0" w:line="19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common shares issued in the private placement financing were issued pursuant to and in accordance with the exemption from registration under Section 4(a)(2) of the Securities Act and/or Regulation D promulgated under the Securities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three and nine months ended September 30, 2022.</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2460" w:type="dxa"/>
            <w:vAlign w:val="bottom"/>
            <w:gridSpan w:val="14"/>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Incorporated by Reference Herein from Form or</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SEC File/ Reg.</w:t>
            </w:r>
          </w:p>
        </w:tc>
        <w:tc>
          <w:tcPr>
            <w:tcW w:w="0" w:type="dxa"/>
            <w:vAlign w:val="bottom"/>
          </w:tcPr>
          <w:p>
            <w:pPr>
              <w:spacing w:after="0"/>
              <w:rPr>
                <w:sz w:val="1"/>
                <w:szCs w:val="1"/>
                <w:color w:val="auto"/>
              </w:rPr>
            </w:pPr>
          </w:p>
        </w:tc>
      </w:tr>
      <w:tr>
        <w:trPr>
          <w:trHeight w:val="171"/>
        </w:trPr>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460" w:type="dxa"/>
            <w:vAlign w:val="bottom"/>
            <w:gridSpan w:val="14"/>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Herewith</w:t>
            </w:r>
          </w:p>
        </w:tc>
        <w:tc>
          <w:tcPr>
            <w:tcW w:w="3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Schedule</w:t>
            </w:r>
          </w:p>
        </w:tc>
        <w:tc>
          <w:tcPr>
            <w:tcW w:w="1020" w:type="dxa"/>
            <w:vAlign w:val="bottom"/>
            <w:gridSpan w:val="2"/>
            <w:vMerge w:val="continue"/>
          </w:tcPr>
          <w:p>
            <w:pPr>
              <w:spacing w:after="0"/>
              <w:rPr>
                <w:sz w:val="14"/>
                <w:szCs w:val="14"/>
                <w:color w:val="auto"/>
              </w:rPr>
            </w:pPr>
          </w:p>
        </w:tc>
        <w:tc>
          <w:tcPr>
            <w:tcW w:w="1000" w:type="dxa"/>
            <w:vAlign w:val="bottom"/>
          </w:tcPr>
          <w:p>
            <w:pPr>
              <w:jc w:val="right"/>
              <w:ind w:right="16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280" w:type="dxa"/>
            <w:vAlign w:val="bottom"/>
            <w:tcBorders>
              <w:top w:val="single" w:sz="8" w:color="auto"/>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w w:val="83"/>
              </w:rPr>
              <w:t>10.1</w:t>
            </w:r>
          </w:p>
        </w:tc>
        <w:tc>
          <w:tcPr>
            <w:tcW w:w="48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auto"/>
              <w:bottom w:val="single" w:sz="8" w:color="0000EE"/>
            </w:tcBorders>
            <w:gridSpan w:val="7"/>
            <w:shd w:val="clear" w:color="auto" w:fill="CCEEFF"/>
          </w:tcPr>
          <w:p>
            <w:pPr>
              <w:spacing w:after="0" w:line="155" w:lineRule="exact"/>
              <w:rPr>
                <w:rFonts w:ascii="Arial" w:cs="Arial" w:eastAsia="Arial" w:hAnsi="Arial"/>
                <w:sz w:val="16"/>
                <w:szCs w:val="16"/>
                <w:color w:val="0000EE"/>
                <w:w w:val="90"/>
              </w:rPr>
            </w:pPr>
            <w:hyperlink r:id="rId50">
              <w:r>
                <w:rPr>
                  <w:rFonts w:ascii="Arial" w:cs="Arial" w:eastAsia="Arial" w:hAnsi="Arial"/>
                  <w:sz w:val="16"/>
                  <w:szCs w:val="16"/>
                  <w:color w:val="0000EE"/>
                  <w:w w:val="90"/>
                </w:rPr>
                <w:t>Form of Securities Purchase</w:t>
              </w:r>
            </w:hyperlink>
          </w:p>
        </w:tc>
        <w:tc>
          <w:tcPr>
            <w:tcW w:w="440" w:type="dxa"/>
            <w:vAlign w:val="bottom"/>
            <w:tcBorders>
              <w:top w:val="single" w:sz="8" w:color="auto"/>
              <w:bottom w:val="single" w:sz="8" w:color="CCEEFF"/>
            </w:tcBorders>
            <w:gridSpan w:val="6"/>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14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8"/>
              </w:rPr>
              <w:t>Form 8-K</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jc w:val="right"/>
              <w:ind w:right="81"/>
              <w:spacing w:after="0" w:line="155" w:lineRule="exact"/>
              <w:rPr>
                <w:sz w:val="20"/>
                <w:szCs w:val="20"/>
                <w:color w:val="auto"/>
              </w:rPr>
            </w:pPr>
            <w:r>
              <w:rPr>
                <w:rFonts w:ascii="Arial" w:cs="Arial" w:eastAsia="Arial" w:hAnsi="Arial"/>
                <w:sz w:val="16"/>
                <w:szCs w:val="16"/>
                <w:color w:val="auto"/>
                <w:w w:val="89"/>
              </w:rPr>
              <w:t>8/15/2022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jc w:val="right"/>
              <w:ind w:right="203"/>
              <w:spacing w:after="0" w:line="155" w:lineRule="exact"/>
              <w:rPr>
                <w:sz w:val="20"/>
                <w:szCs w:val="20"/>
                <w:color w:val="auto"/>
              </w:rPr>
            </w:pPr>
            <w:r>
              <w:rPr>
                <w:rFonts w:ascii="Arial" w:cs="Arial" w:eastAsia="Arial" w:hAnsi="Arial"/>
                <w:sz w:val="16"/>
                <w:szCs w:val="16"/>
                <w:color w:val="auto"/>
                <w:w w:val="91"/>
              </w:rPr>
              <w:t>001-39281</w:t>
            </w: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Arial" w:cs="Arial" w:eastAsia="Arial" w:hAnsi="Arial"/>
                <w:sz w:val="16"/>
                <w:szCs w:val="16"/>
                <w:color w:val="0000EE"/>
              </w:rPr>
            </w:pPr>
            <w:hyperlink r:id="rId50">
              <w:r>
                <w:rPr>
                  <w:rFonts w:ascii="Arial" w:cs="Arial" w:eastAsia="Arial" w:hAnsi="Arial"/>
                  <w:sz w:val="16"/>
                  <w:szCs w:val="16"/>
                  <w:color w:val="0000EE"/>
                </w:rPr>
                <w:t>Agreement, dated August 12,</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jc w:val="center"/>
              <w:ind w:right="200"/>
              <w:spacing w:after="0" w:line="183" w:lineRule="exact"/>
              <w:rPr>
                <w:sz w:val="20"/>
                <w:szCs w:val="20"/>
                <w:color w:val="auto"/>
              </w:rPr>
            </w:pPr>
            <w:r>
              <w:rPr>
                <w:rFonts w:ascii="Arial" w:cs="Arial" w:eastAsia="Arial" w:hAnsi="Arial"/>
                <w:sz w:val="16"/>
                <w:szCs w:val="16"/>
                <w:color w:val="auto"/>
                <w:w w:val="95"/>
              </w:rPr>
              <w:t>(Exhibit 10.1)</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0000EE"/>
              <w:right w:val="single" w:sz="8" w:color="CCEEFF"/>
            </w:tcBorders>
            <w:gridSpan w:val="9"/>
            <w:shd w:val="clear" w:color="auto" w:fill="CCEEFF"/>
          </w:tcPr>
          <w:p>
            <w:pPr>
              <w:spacing w:after="0" w:line="183" w:lineRule="exact"/>
              <w:rPr>
                <w:rFonts w:ascii="Arial" w:cs="Arial" w:eastAsia="Arial" w:hAnsi="Arial"/>
                <w:sz w:val="16"/>
                <w:szCs w:val="16"/>
                <w:color w:val="0000EE"/>
                <w:w w:val="91"/>
              </w:rPr>
            </w:pPr>
            <w:hyperlink r:id="rId50">
              <w:r>
                <w:rPr>
                  <w:rFonts w:ascii="Arial" w:cs="Arial" w:eastAsia="Arial" w:hAnsi="Arial"/>
                  <w:sz w:val="16"/>
                  <w:szCs w:val="16"/>
                  <w:color w:val="0000EE"/>
                  <w:w w:val="91"/>
                </w:rPr>
                <w:t>2022, by and among TMC the</w:t>
              </w:r>
            </w:hyperlink>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0000EE"/>
            </w:tcBorders>
            <w:gridSpan w:val="8"/>
            <w:shd w:val="clear" w:color="auto" w:fill="CCEEFF"/>
          </w:tcPr>
          <w:p>
            <w:pPr>
              <w:spacing w:after="0" w:line="183" w:lineRule="exact"/>
              <w:rPr>
                <w:rFonts w:ascii="Arial" w:cs="Arial" w:eastAsia="Arial" w:hAnsi="Arial"/>
                <w:sz w:val="16"/>
                <w:szCs w:val="16"/>
                <w:color w:val="0000EE"/>
                <w:w w:val="89"/>
              </w:rPr>
            </w:pPr>
            <w:hyperlink r:id="rId50">
              <w:r>
                <w:rPr>
                  <w:rFonts w:ascii="Arial" w:cs="Arial" w:eastAsia="Arial" w:hAnsi="Arial"/>
                  <w:sz w:val="16"/>
                  <w:szCs w:val="16"/>
                  <w:color w:val="0000EE"/>
                  <w:w w:val="89"/>
                </w:rPr>
                <w:t>metals company Inc. and the</w:t>
              </w:r>
            </w:hyperlink>
          </w:p>
        </w:tc>
        <w:tc>
          <w:tcPr>
            <w:tcW w:w="600" w:type="dxa"/>
            <w:vAlign w:val="bottom"/>
            <w:tcBorders>
              <w:bottom w:val="single" w:sz="8" w:color="CCEEFF"/>
            </w:tcBorders>
            <w:gridSpan w:val="6"/>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Arial" w:cs="Arial" w:eastAsia="Arial" w:hAnsi="Arial"/>
                <w:sz w:val="16"/>
                <w:szCs w:val="16"/>
                <w:color w:val="0000EE"/>
              </w:rPr>
            </w:pPr>
            <w:hyperlink r:id="rId50">
              <w:r>
                <w:rPr>
                  <w:rFonts w:ascii="Arial" w:cs="Arial" w:eastAsia="Arial" w:hAnsi="Arial"/>
                  <w:sz w:val="16"/>
                  <w:szCs w:val="16"/>
                  <w:color w:val="0000EE"/>
                </w:rPr>
                <w:t>Purchasers named therein</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gridSpan w:val="2"/>
          </w:tcPr>
          <w:p>
            <w:pPr>
              <w:spacing w:after="0" w:line="162" w:lineRule="exact"/>
              <w:rPr>
                <w:sz w:val="20"/>
                <w:szCs w:val="20"/>
                <w:color w:val="auto"/>
              </w:rPr>
            </w:pPr>
            <w:r>
              <w:rPr>
                <w:rFonts w:ascii="Arial" w:cs="Arial" w:eastAsia="Arial" w:hAnsi="Arial"/>
                <w:sz w:val="16"/>
                <w:szCs w:val="16"/>
                <w:color w:val="auto"/>
                <w:w w:val="83"/>
              </w:rPr>
              <w:t>10.2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4"/>
          </w:tcPr>
          <w:p>
            <w:pPr>
              <w:spacing w:after="0" w:line="162" w:lineRule="exact"/>
              <w:rPr>
                <w:rFonts w:ascii="Arial" w:cs="Arial" w:eastAsia="Arial" w:hAnsi="Arial"/>
                <w:sz w:val="16"/>
                <w:szCs w:val="16"/>
                <w:color w:val="0000EE"/>
              </w:rPr>
            </w:pPr>
            <w:hyperlink r:id="rId51">
              <w:r>
                <w:rPr>
                  <w:rFonts w:ascii="Arial" w:cs="Arial" w:eastAsia="Arial" w:hAnsi="Arial"/>
                  <w:sz w:val="16"/>
                  <w:szCs w:val="16"/>
                  <w:color w:val="0000EE"/>
                </w:rPr>
                <w:t>Securities Purchase Agreement,</w:t>
              </w:r>
            </w:hyperlink>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8"/>
              </w:rPr>
              <w:t>Form 8-K</w:t>
            </w:r>
          </w:p>
        </w:tc>
        <w:tc>
          <w:tcPr>
            <w:tcW w:w="820" w:type="dxa"/>
            <w:vAlign w:val="bottom"/>
          </w:tcPr>
          <w:p>
            <w:pPr>
              <w:jc w:val="right"/>
              <w:ind w:right="81"/>
              <w:spacing w:after="0" w:line="162" w:lineRule="exact"/>
              <w:rPr>
                <w:sz w:val="20"/>
                <w:szCs w:val="20"/>
                <w:color w:val="auto"/>
              </w:rPr>
            </w:pPr>
            <w:r>
              <w:rPr>
                <w:rFonts w:ascii="Arial" w:cs="Arial" w:eastAsia="Arial" w:hAnsi="Arial"/>
                <w:sz w:val="16"/>
                <w:szCs w:val="16"/>
                <w:color w:val="auto"/>
                <w:w w:val="89"/>
              </w:rPr>
              <w:t>8/15/2022</w:t>
            </w:r>
          </w:p>
        </w:tc>
        <w:tc>
          <w:tcPr>
            <w:tcW w:w="200" w:type="dxa"/>
            <w:vAlign w:val="bottom"/>
          </w:tcPr>
          <w:p>
            <w:pPr>
              <w:spacing w:after="0"/>
              <w:rPr>
                <w:sz w:val="14"/>
                <w:szCs w:val="14"/>
                <w:color w:val="auto"/>
              </w:rPr>
            </w:pPr>
          </w:p>
        </w:tc>
        <w:tc>
          <w:tcPr>
            <w:tcW w:w="1000" w:type="dxa"/>
            <w:vAlign w:val="bottom"/>
          </w:tcPr>
          <w:p>
            <w:pPr>
              <w:jc w:val="right"/>
              <w:ind w:right="203"/>
              <w:spacing w:after="0" w:line="162" w:lineRule="exact"/>
              <w:rPr>
                <w:sz w:val="20"/>
                <w:szCs w:val="20"/>
                <w:color w:val="auto"/>
              </w:rPr>
            </w:pPr>
            <w:r>
              <w:rPr>
                <w:rFonts w:ascii="Arial" w:cs="Arial" w:eastAsia="Arial" w:hAnsi="Arial"/>
                <w:sz w:val="16"/>
                <w:szCs w:val="16"/>
                <w:color w:val="auto"/>
                <w:w w:val="91"/>
              </w:rPr>
              <w:t>001-39281</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Borders>
              <w:top w:val="single" w:sz="8" w:color="0000EE"/>
            </w:tcBorders>
            <w:gridSpan w:val="10"/>
          </w:tcPr>
          <w:p>
            <w:pPr>
              <w:spacing w:after="0" w:line="183" w:lineRule="exact"/>
              <w:rPr>
                <w:rFonts w:ascii="Arial" w:cs="Arial" w:eastAsia="Arial" w:hAnsi="Arial"/>
                <w:sz w:val="16"/>
                <w:szCs w:val="16"/>
                <w:color w:val="0000EE"/>
                <w:w w:val="93"/>
              </w:rPr>
            </w:pPr>
            <w:hyperlink r:id="rId51">
              <w:r>
                <w:rPr>
                  <w:rFonts w:ascii="Arial" w:cs="Arial" w:eastAsia="Arial" w:hAnsi="Arial"/>
                  <w:sz w:val="16"/>
                  <w:szCs w:val="16"/>
                  <w:color w:val="0000EE"/>
                  <w:w w:val="93"/>
                </w:rPr>
                <w:t>dated August 12, 2022, by and</w:t>
              </w:r>
            </w:hyperlink>
          </w:p>
        </w:tc>
        <w:tc>
          <w:tcPr>
            <w:tcW w:w="4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2"/>
          </w:tcPr>
          <w:p>
            <w:pPr>
              <w:jc w:val="center"/>
              <w:ind w:right="200"/>
              <w:spacing w:after="0" w:line="183" w:lineRule="exact"/>
              <w:rPr>
                <w:sz w:val="20"/>
                <w:szCs w:val="20"/>
                <w:color w:val="auto"/>
              </w:rPr>
            </w:pPr>
            <w:r>
              <w:rPr>
                <w:rFonts w:ascii="Arial" w:cs="Arial" w:eastAsia="Arial" w:hAnsi="Arial"/>
                <w:sz w:val="16"/>
                <w:szCs w:val="16"/>
                <w:color w:val="auto"/>
                <w:w w:val="95"/>
              </w:rPr>
              <w:t>(Exhibit 10.2)</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rFonts w:ascii="Arial" w:cs="Arial" w:eastAsia="Arial" w:hAnsi="Arial"/>
                <w:sz w:val="16"/>
                <w:szCs w:val="16"/>
                <w:color w:val="0000EE"/>
              </w:rPr>
            </w:pPr>
            <w:hyperlink r:id="rId51">
              <w:r>
                <w:rPr>
                  <w:rFonts w:ascii="Arial" w:cs="Arial" w:eastAsia="Arial" w:hAnsi="Arial"/>
                  <w:sz w:val="16"/>
                  <w:szCs w:val="16"/>
                  <w:color w:val="0000EE"/>
                </w:rPr>
                <w:t>among TMC the metals company</w:t>
              </w:r>
            </w:hyperlink>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51">
              <w:r>
                <w:rPr>
                  <w:rFonts w:ascii="Arial" w:cs="Arial" w:eastAsia="Arial" w:hAnsi="Arial"/>
                  <w:sz w:val="16"/>
                  <w:szCs w:val="16"/>
                  <w:color w:val="0000EE"/>
                </w:rPr>
                <w:t>Inc. and Gerard Barron</w:t>
              </w:r>
            </w:hyperlink>
          </w:p>
        </w:tc>
        <w:tc>
          <w:tcPr>
            <w:tcW w:w="30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83"/>
              </w:rPr>
              <w:t>10.3</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60" w:type="dxa"/>
            <w:vAlign w:val="bottom"/>
            <w:gridSpan w:val="14"/>
            <w:shd w:val="clear" w:color="auto" w:fill="CCEEFF"/>
          </w:tcPr>
          <w:p>
            <w:pPr>
              <w:spacing w:after="0" w:line="162" w:lineRule="exact"/>
              <w:rPr>
                <w:rFonts w:ascii="Arial" w:cs="Arial" w:eastAsia="Arial" w:hAnsi="Arial"/>
                <w:sz w:val="16"/>
                <w:szCs w:val="16"/>
                <w:color w:val="0000EE"/>
              </w:rPr>
            </w:pPr>
            <w:hyperlink r:id="rId52">
              <w:r>
                <w:rPr>
                  <w:rFonts w:ascii="Arial" w:cs="Arial" w:eastAsia="Arial" w:hAnsi="Arial"/>
                  <w:sz w:val="16"/>
                  <w:szCs w:val="16"/>
                  <w:color w:val="0000EE"/>
                </w:rPr>
                <w:t>Securities Purchase Agreement,</w:t>
              </w:r>
            </w:hyperlink>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340" w:type="dxa"/>
            <w:vAlign w:val="bottom"/>
            <w:gridSpan w:val="2"/>
            <w:shd w:val="clear" w:color="auto" w:fill="CCEEFF"/>
          </w:tcPr>
          <w:p>
            <w:pPr>
              <w:jc w:val="center"/>
              <w:ind w:right="200"/>
              <w:spacing w:after="0" w:line="162" w:lineRule="exact"/>
              <w:rPr>
                <w:sz w:val="20"/>
                <w:szCs w:val="20"/>
                <w:color w:val="auto"/>
              </w:rPr>
            </w:pPr>
            <w:r>
              <w:rPr>
                <w:rFonts w:ascii="Arial" w:cs="Arial" w:eastAsia="Arial" w:hAnsi="Arial"/>
                <w:sz w:val="16"/>
                <w:szCs w:val="16"/>
                <w:color w:val="auto"/>
                <w:w w:val="98"/>
              </w:rPr>
              <w:t>Form 8-K</w:t>
            </w:r>
          </w:p>
        </w:tc>
        <w:tc>
          <w:tcPr>
            <w:tcW w:w="820" w:type="dxa"/>
            <w:vAlign w:val="bottom"/>
            <w:shd w:val="clear" w:color="auto" w:fill="CCEEFF"/>
          </w:tcPr>
          <w:p>
            <w:pPr>
              <w:jc w:val="right"/>
              <w:ind w:right="81"/>
              <w:spacing w:after="0" w:line="162" w:lineRule="exact"/>
              <w:rPr>
                <w:sz w:val="20"/>
                <w:szCs w:val="20"/>
                <w:color w:val="auto"/>
              </w:rPr>
            </w:pPr>
            <w:r>
              <w:rPr>
                <w:rFonts w:ascii="Arial" w:cs="Arial" w:eastAsia="Arial" w:hAnsi="Arial"/>
                <w:sz w:val="16"/>
                <w:szCs w:val="16"/>
                <w:color w:val="auto"/>
                <w:w w:val="89"/>
              </w:rPr>
              <w:t>8/15/2022</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3"/>
              <w:spacing w:after="0" w:line="162" w:lineRule="exact"/>
              <w:rPr>
                <w:sz w:val="20"/>
                <w:szCs w:val="20"/>
                <w:color w:val="auto"/>
              </w:rPr>
            </w:pPr>
            <w:r>
              <w:rPr>
                <w:rFonts w:ascii="Arial" w:cs="Arial" w:eastAsia="Arial" w:hAnsi="Arial"/>
                <w:sz w:val="16"/>
                <w:szCs w:val="16"/>
                <w:color w:val="auto"/>
                <w:w w:val="91"/>
              </w:rPr>
              <w:t>001-39281</w:t>
            </w:r>
          </w:p>
        </w:tc>
        <w:tc>
          <w:tcPr>
            <w:tcW w:w="0" w:type="dxa"/>
            <w:vAlign w:val="bottom"/>
          </w:tcPr>
          <w:p>
            <w:pPr>
              <w:spacing w:after="0"/>
              <w:rPr>
                <w:sz w:val="1"/>
                <w:szCs w:val="1"/>
                <w:color w:val="auto"/>
              </w:rPr>
            </w:pP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0000EE"/>
            </w:tcBorders>
            <w:gridSpan w:val="10"/>
            <w:shd w:val="clear" w:color="auto" w:fill="CCEEFF"/>
          </w:tcPr>
          <w:p>
            <w:pPr>
              <w:spacing w:after="0" w:line="183" w:lineRule="exact"/>
              <w:rPr>
                <w:rFonts w:ascii="Arial" w:cs="Arial" w:eastAsia="Arial" w:hAnsi="Arial"/>
                <w:sz w:val="16"/>
                <w:szCs w:val="16"/>
                <w:color w:val="0000EE"/>
                <w:w w:val="93"/>
              </w:rPr>
            </w:pPr>
            <w:hyperlink r:id="rId52">
              <w:r>
                <w:rPr>
                  <w:rFonts w:ascii="Arial" w:cs="Arial" w:eastAsia="Arial" w:hAnsi="Arial"/>
                  <w:sz w:val="16"/>
                  <w:szCs w:val="16"/>
                  <w:color w:val="0000EE"/>
                  <w:w w:val="93"/>
                </w:rPr>
                <w:t>dated August 12, 2022, by and</w:t>
              </w:r>
            </w:hyperlink>
          </w:p>
        </w:tc>
        <w:tc>
          <w:tcPr>
            <w:tcW w:w="400" w:type="dxa"/>
            <w:vAlign w:val="bottom"/>
            <w:tcBorders>
              <w:top w:val="single" w:sz="8" w:color="CCEEFF"/>
            </w:tcBorders>
            <w:gridSpan w:val="4"/>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340" w:type="dxa"/>
            <w:vAlign w:val="bottom"/>
            <w:tcBorders>
              <w:top w:val="single" w:sz="8" w:color="CCEEFF"/>
            </w:tcBorders>
            <w:gridSpan w:val="2"/>
            <w:shd w:val="clear" w:color="auto" w:fill="CCEEFF"/>
          </w:tcPr>
          <w:p>
            <w:pPr>
              <w:jc w:val="center"/>
              <w:ind w:right="200"/>
              <w:spacing w:after="0" w:line="183" w:lineRule="exact"/>
              <w:rPr>
                <w:sz w:val="20"/>
                <w:szCs w:val="20"/>
                <w:color w:val="auto"/>
              </w:rPr>
            </w:pPr>
            <w:r>
              <w:rPr>
                <w:rFonts w:ascii="Arial" w:cs="Arial" w:eastAsia="Arial" w:hAnsi="Arial"/>
                <w:sz w:val="16"/>
                <w:szCs w:val="16"/>
                <w:color w:val="auto"/>
                <w:w w:val="95"/>
              </w:rPr>
              <w:t>(Exhibit 10.3)</w:t>
            </w:r>
          </w:p>
        </w:tc>
        <w:tc>
          <w:tcPr>
            <w:tcW w:w="8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14"/>
            <w:shd w:val="clear" w:color="auto" w:fill="CCEEFF"/>
          </w:tcPr>
          <w:p>
            <w:pPr>
              <w:spacing w:after="0" w:line="183" w:lineRule="exact"/>
              <w:rPr>
                <w:rFonts w:ascii="Arial" w:cs="Arial" w:eastAsia="Arial" w:hAnsi="Arial"/>
                <w:sz w:val="16"/>
                <w:szCs w:val="16"/>
                <w:color w:val="0000EE"/>
              </w:rPr>
            </w:pPr>
            <w:hyperlink r:id="rId52">
              <w:r>
                <w:rPr>
                  <w:rFonts w:ascii="Arial" w:cs="Arial" w:eastAsia="Arial" w:hAnsi="Arial"/>
                  <w:sz w:val="16"/>
                  <w:szCs w:val="16"/>
                  <w:color w:val="0000EE"/>
                </w:rPr>
                <w:t>among TMC the metals company</w:t>
              </w:r>
            </w:hyperlink>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0000EE"/>
              <w:bottom w:val="single" w:sz="8" w:color="0000EE"/>
            </w:tcBorders>
            <w:gridSpan w:val="7"/>
            <w:shd w:val="clear" w:color="auto" w:fill="CCEEFF"/>
          </w:tcPr>
          <w:p>
            <w:pPr>
              <w:spacing w:after="0" w:line="183" w:lineRule="exact"/>
              <w:rPr>
                <w:rFonts w:ascii="Arial" w:cs="Arial" w:eastAsia="Arial" w:hAnsi="Arial"/>
                <w:sz w:val="16"/>
                <w:szCs w:val="16"/>
                <w:color w:val="0000EE"/>
                <w:w w:val="94"/>
              </w:rPr>
            </w:pPr>
            <w:hyperlink r:id="rId52">
              <w:r>
                <w:rPr>
                  <w:rFonts w:ascii="Arial" w:cs="Arial" w:eastAsia="Arial" w:hAnsi="Arial"/>
                  <w:sz w:val="16"/>
                  <w:szCs w:val="16"/>
                  <w:color w:val="0000EE"/>
                  <w:w w:val="94"/>
                </w:rPr>
                <w:t>Inc. and ERAS Capital LLC</w:t>
              </w:r>
            </w:hyperlink>
          </w:p>
        </w:tc>
        <w:tc>
          <w:tcPr>
            <w:tcW w:w="32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tcBorders>
              <w:bottom w:val="single" w:sz="8" w:color="0000EE"/>
            </w:tcBorders>
            <w:gridSpan w:val="2"/>
          </w:tcPr>
          <w:p>
            <w:pPr>
              <w:spacing w:after="0" w:line="162" w:lineRule="exact"/>
              <w:rPr>
                <w:sz w:val="20"/>
                <w:szCs w:val="20"/>
                <w:color w:val="auto"/>
              </w:rPr>
            </w:pPr>
            <w:r>
              <w:rPr>
                <w:rFonts w:ascii="Arial" w:cs="Arial" w:eastAsia="Arial" w:hAnsi="Arial"/>
                <w:sz w:val="16"/>
                <w:szCs w:val="16"/>
                <w:color w:val="0000EE"/>
                <w:w w:val="83"/>
              </w:rPr>
              <w:t>31.</w:t>
            </w:r>
            <w:r>
              <w:rPr>
                <w:rFonts w:ascii="Arial" w:cs="Arial" w:eastAsia="Arial" w:hAnsi="Arial"/>
                <w:sz w:val="16"/>
                <w:szCs w:val="16"/>
                <w:u w:val="single" w:color="auto"/>
                <w:color w:val="0000EE"/>
                <w:w w:val="83"/>
              </w:rPr>
              <w:t>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62" w:lineRule="exact"/>
              <w:rPr>
                <w:sz w:val="20"/>
                <w:szCs w:val="20"/>
                <w:color w:val="auto"/>
              </w:rPr>
            </w:pPr>
            <w:r>
              <w:rPr>
                <w:rFonts w:ascii="Arial" w:cs="Arial" w:eastAsia="Arial" w:hAnsi="Arial"/>
                <w:sz w:val="16"/>
                <w:szCs w:val="16"/>
                <w:color w:val="0000EE"/>
                <w:w w:val="94"/>
              </w:rPr>
              <w:t>Certification of the Principal</w:t>
            </w:r>
          </w:p>
        </w:tc>
        <w:tc>
          <w:tcPr>
            <w:tcW w:w="600" w:type="dxa"/>
            <w:vAlign w:val="bottom"/>
            <w:gridSpan w:val="6"/>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color w:val="0000EE"/>
                <w:w w:val="94"/>
              </w:rPr>
              <w:t>Executive Officer pursuant to</w:t>
            </w:r>
          </w:p>
        </w:tc>
        <w:tc>
          <w:tcPr>
            <w:tcW w:w="48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0000EE"/>
            </w:tcBorders>
            <w:gridSpan w:val="12"/>
          </w:tcPr>
          <w:p>
            <w:pPr>
              <w:spacing w:after="0" w:line="183" w:lineRule="exact"/>
              <w:rPr>
                <w:sz w:val="20"/>
                <w:szCs w:val="20"/>
                <w:color w:val="auto"/>
              </w:rPr>
            </w:pPr>
            <w:r>
              <w:rPr>
                <w:rFonts w:ascii="Arial" w:cs="Arial" w:eastAsia="Arial" w:hAnsi="Arial"/>
                <w:sz w:val="16"/>
                <w:szCs w:val="16"/>
                <w:color w:val="0000EE"/>
                <w:w w:val="90"/>
              </w:rPr>
              <w:t>Section 302 of the Sarbanes-Oxley</w:t>
            </w: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Arial" w:cs="Arial" w:eastAsia="Arial" w:hAnsi="Arial"/>
                <w:sz w:val="16"/>
                <w:szCs w:val="16"/>
                <w:color w:val="0000EE"/>
              </w:rPr>
              <w:t>Act of 2002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Borders>
              <w:bottom w:val="single" w:sz="8" w:color="0000EE"/>
            </w:tcBorders>
            <w:gridSpan w:val="2"/>
            <w:shd w:val="clear" w:color="auto" w:fill="CCEEFF"/>
          </w:tcPr>
          <w:p>
            <w:pPr>
              <w:spacing w:after="0" w:line="162" w:lineRule="exact"/>
              <w:rPr>
                <w:sz w:val="20"/>
                <w:szCs w:val="20"/>
                <w:color w:val="auto"/>
              </w:rPr>
            </w:pPr>
            <w:r>
              <w:rPr>
                <w:rFonts w:ascii="Arial" w:cs="Arial" w:eastAsia="Arial" w:hAnsi="Arial"/>
                <w:sz w:val="16"/>
                <w:szCs w:val="16"/>
                <w:color w:val="0000EE"/>
                <w:w w:val="83"/>
              </w:rPr>
              <w:t>31.</w:t>
            </w:r>
            <w:r>
              <w:rPr>
                <w:rFonts w:ascii="Arial" w:cs="Arial" w:eastAsia="Arial" w:hAnsi="Arial"/>
                <w:sz w:val="16"/>
                <w:szCs w:val="16"/>
                <w:u w:val="single" w:color="auto"/>
                <w:color w:val="0000EE"/>
                <w:w w:val="83"/>
              </w:rPr>
              <w:t>2</w:t>
            </w:r>
          </w:p>
        </w:tc>
        <w:tc>
          <w:tcPr>
            <w:tcW w:w="4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0000EE"/>
            </w:tcBorders>
            <w:gridSpan w:val="8"/>
            <w:shd w:val="clear" w:color="auto" w:fill="CCEEFF"/>
          </w:tcPr>
          <w:p>
            <w:pPr>
              <w:spacing w:after="0" w:line="162" w:lineRule="exact"/>
              <w:rPr>
                <w:sz w:val="20"/>
                <w:szCs w:val="20"/>
                <w:color w:val="auto"/>
              </w:rPr>
            </w:pPr>
            <w:r>
              <w:rPr>
                <w:rFonts w:ascii="Arial" w:cs="Arial" w:eastAsia="Arial" w:hAnsi="Arial"/>
                <w:sz w:val="16"/>
                <w:szCs w:val="16"/>
                <w:color w:val="0000EE"/>
                <w:w w:val="94"/>
              </w:rPr>
              <w:t>Certification of the Principal</w:t>
            </w:r>
          </w:p>
        </w:tc>
        <w:tc>
          <w:tcPr>
            <w:tcW w:w="600" w:type="dxa"/>
            <w:vAlign w:val="bottom"/>
            <w:tcBorders>
              <w:bottom w:val="single" w:sz="8" w:color="CCEEFF"/>
            </w:tcBorders>
            <w:gridSpan w:val="6"/>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0000EE"/>
              <w:right w:val="single" w:sz="8" w:color="CCEEFF"/>
            </w:tcBorders>
            <w:gridSpan w:val="9"/>
            <w:shd w:val="clear" w:color="auto" w:fill="CCEEFF"/>
          </w:tcPr>
          <w:p>
            <w:pPr>
              <w:spacing w:after="0" w:line="183" w:lineRule="exact"/>
              <w:rPr>
                <w:sz w:val="20"/>
                <w:szCs w:val="20"/>
                <w:color w:val="auto"/>
              </w:rPr>
            </w:pPr>
            <w:r>
              <w:rPr>
                <w:rFonts w:ascii="Arial" w:cs="Arial" w:eastAsia="Arial" w:hAnsi="Arial"/>
                <w:sz w:val="16"/>
                <w:szCs w:val="16"/>
                <w:color w:val="0000EE"/>
                <w:w w:val="96"/>
              </w:rPr>
              <w:t>Financial Officer pursuant to</w:t>
            </w:r>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0000EE"/>
            </w:tcBorders>
            <w:gridSpan w:val="12"/>
            <w:shd w:val="clear" w:color="auto" w:fill="CCEEFF"/>
          </w:tcPr>
          <w:p>
            <w:pPr>
              <w:spacing w:after="0" w:line="183" w:lineRule="exact"/>
              <w:rPr>
                <w:sz w:val="20"/>
                <w:szCs w:val="20"/>
                <w:color w:val="auto"/>
              </w:rPr>
            </w:pPr>
            <w:r>
              <w:rPr>
                <w:rFonts w:ascii="Arial" w:cs="Arial" w:eastAsia="Arial" w:hAnsi="Arial"/>
                <w:sz w:val="16"/>
                <w:szCs w:val="16"/>
                <w:color w:val="0000EE"/>
                <w:w w:val="90"/>
              </w:rPr>
              <w:t>Section 302 of the Sarbanes-Oxley</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EE"/>
            </w:tcBorders>
            <w:shd w:val="clear" w:color="auto" w:fill="CCEEFF"/>
          </w:tcPr>
          <w:p>
            <w:pPr>
              <w:spacing w:after="0" w:line="183" w:lineRule="exact"/>
              <w:rPr>
                <w:sz w:val="20"/>
                <w:szCs w:val="20"/>
                <w:color w:val="auto"/>
              </w:rPr>
            </w:pPr>
            <w:r>
              <w:rPr>
                <w:rFonts w:ascii="Arial" w:cs="Arial" w:eastAsia="Arial" w:hAnsi="Arial"/>
                <w:sz w:val="16"/>
                <w:szCs w:val="16"/>
                <w:color w:val="0000EE"/>
                <w:w w:val="93"/>
              </w:rPr>
              <w:t>Act of 2002</w:t>
            </w:r>
          </w:p>
        </w:tc>
        <w:tc>
          <w:tcPr>
            <w:tcW w:w="168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gridSpan w:val="2"/>
          </w:tcPr>
          <w:p>
            <w:pPr>
              <w:spacing w:after="0" w:line="162" w:lineRule="exact"/>
              <w:rPr>
                <w:sz w:val="20"/>
                <w:szCs w:val="20"/>
                <w:color w:val="auto"/>
              </w:rPr>
            </w:pPr>
            <w:r>
              <w:rPr>
                <w:rFonts w:ascii="Arial" w:cs="Arial" w:eastAsia="Arial" w:hAnsi="Arial"/>
                <w:sz w:val="16"/>
                <w:szCs w:val="16"/>
                <w:color w:val="0000EE"/>
              </w:rPr>
              <w:t>32*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4"/>
          </w:tcPr>
          <w:p>
            <w:pPr>
              <w:spacing w:after="0" w:line="162" w:lineRule="exact"/>
              <w:rPr>
                <w:sz w:val="20"/>
                <w:szCs w:val="20"/>
                <w:color w:val="auto"/>
              </w:rPr>
            </w:pPr>
            <w:r>
              <w:rPr>
                <w:rFonts w:ascii="Arial" w:cs="Arial" w:eastAsia="Arial" w:hAnsi="Arial"/>
                <w:sz w:val="16"/>
                <w:szCs w:val="16"/>
                <w:color w:val="0000EE"/>
              </w:rPr>
              <w:t>Certifications of the Chief</w:t>
            </w: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Arial" w:cs="Arial" w:eastAsia="Arial" w:hAnsi="Arial"/>
                <w:sz w:val="16"/>
                <w:szCs w:val="16"/>
                <w:color w:val="0000EE"/>
              </w:rPr>
              <w:t>Executive Officer and Chief</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color w:val="0000EE"/>
                <w:w w:val="96"/>
              </w:rPr>
              <w:t>Financial Officer pursuant to</w:t>
            </w:r>
          </w:p>
        </w:tc>
        <w:tc>
          <w:tcPr>
            <w:tcW w:w="48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0000EE"/>
            </w:tcBorders>
            <w:gridSpan w:val="12"/>
          </w:tcPr>
          <w:p>
            <w:pPr>
              <w:spacing w:after="0" w:line="183" w:lineRule="exact"/>
              <w:rPr>
                <w:sz w:val="20"/>
                <w:szCs w:val="20"/>
                <w:color w:val="auto"/>
              </w:rPr>
            </w:pPr>
            <w:r>
              <w:rPr>
                <w:rFonts w:ascii="Arial" w:cs="Arial" w:eastAsia="Arial" w:hAnsi="Arial"/>
                <w:sz w:val="16"/>
                <w:szCs w:val="16"/>
                <w:color w:val="0000EE"/>
                <w:w w:val="90"/>
              </w:rPr>
              <w:t>Section 906 of the Sarbanes-Oxley</w:t>
            </w: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4"/>
          </w:tcPr>
          <w:p>
            <w:pPr>
              <w:spacing w:after="0" w:line="183" w:lineRule="exact"/>
              <w:rPr>
                <w:sz w:val="20"/>
                <w:szCs w:val="20"/>
                <w:color w:val="auto"/>
              </w:rPr>
            </w:pPr>
            <w:r>
              <w:rPr>
                <w:rFonts w:ascii="Arial" w:cs="Arial" w:eastAsia="Arial" w:hAnsi="Arial"/>
                <w:sz w:val="16"/>
                <w:szCs w:val="16"/>
                <w:color w:val="0000EE"/>
              </w:rPr>
              <w:t>Act of 2002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101.INS</w:t>
            </w: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Inline XBRL Instance Document</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(the instance document does not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appear in the Interactive Data File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because its XBRL tags 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embedded within the Inline XBRL</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60" w:type="dxa"/>
            <w:vAlign w:val="bottom"/>
            <w:gridSpan w:val="4"/>
          </w:tcPr>
          <w:p>
            <w:pPr>
              <w:spacing w:after="0"/>
              <w:rPr>
                <w:sz w:val="20"/>
                <w:szCs w:val="20"/>
                <w:color w:val="auto"/>
              </w:rPr>
            </w:pPr>
            <w:r>
              <w:rPr>
                <w:rFonts w:ascii="Arial" w:cs="Arial" w:eastAsia="Arial" w:hAnsi="Arial"/>
                <w:sz w:val="16"/>
                <w:szCs w:val="16"/>
                <w:color w:val="auto"/>
              </w:rPr>
              <w:t>101.SCH</w:t>
            </w:r>
          </w:p>
        </w:tc>
        <w:tc>
          <w:tcPr>
            <w:tcW w:w="246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rPr>
              <w:t>X</w:t>
            </w: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4"/>
          </w:tcPr>
          <w:p>
            <w:pPr>
              <w:spacing w:after="0"/>
              <w:rPr>
                <w:sz w:val="20"/>
                <w:szCs w:val="20"/>
                <w:color w:val="auto"/>
              </w:rPr>
            </w:pPr>
            <w:r>
              <w:rPr>
                <w:rFonts w:ascii="Arial" w:cs="Arial" w:eastAsia="Arial" w:hAnsi="Arial"/>
                <w:sz w:val="16"/>
                <w:szCs w:val="16"/>
                <w:color w:val="auto"/>
              </w:rPr>
              <w:t>Extension Schema 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101.CAL</w:t>
            </w: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Extension Calculation Linkbase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60" w:type="dxa"/>
            <w:vAlign w:val="bottom"/>
            <w:gridSpan w:val="4"/>
          </w:tcPr>
          <w:p>
            <w:pPr>
              <w:spacing w:after="0"/>
              <w:rPr>
                <w:sz w:val="20"/>
                <w:szCs w:val="20"/>
                <w:color w:val="auto"/>
              </w:rPr>
            </w:pPr>
            <w:r>
              <w:rPr>
                <w:rFonts w:ascii="Arial" w:cs="Arial" w:eastAsia="Arial" w:hAnsi="Arial"/>
                <w:sz w:val="16"/>
                <w:szCs w:val="16"/>
                <w:color w:val="auto"/>
              </w:rPr>
              <w:t>101.DEF</w:t>
            </w:r>
          </w:p>
        </w:tc>
        <w:tc>
          <w:tcPr>
            <w:tcW w:w="246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rPr>
              <w:t>X</w:t>
            </w: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14"/>
          </w:tcPr>
          <w:p>
            <w:pPr>
              <w:spacing w:after="0"/>
              <w:rPr>
                <w:sz w:val="20"/>
                <w:szCs w:val="20"/>
                <w:color w:val="auto"/>
              </w:rPr>
            </w:pPr>
            <w:r>
              <w:rPr>
                <w:rFonts w:ascii="Arial" w:cs="Arial" w:eastAsia="Arial" w:hAnsi="Arial"/>
                <w:sz w:val="16"/>
                <w:szCs w:val="16"/>
                <w:color w:val="auto"/>
              </w:rPr>
              <w:t>Extension Definition Linkbase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101.LAB</w:t>
            </w: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Extension Label Linkbase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Document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8"/>
        <w:spacing w:after="0" w:line="279" w:lineRule="auto"/>
        <w:tabs>
          <w:tab w:leader="none" w:pos="1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9920"/>
          </w:cols>
          <w:pgMar w:left="980" w:top="53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440" w:type="dxa"/>
            <w:vAlign w:val="bottom"/>
            <w:gridSpan w:val="2"/>
          </w:tcPr>
          <w:p>
            <w:pPr>
              <w:ind w:left="154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6440" w:type="dxa"/>
            <w:vAlign w:val="bottom"/>
            <w:gridSpan w:val="2"/>
          </w:tcPr>
          <w:p>
            <w:pPr>
              <w:ind w:left="1540"/>
              <w:spacing w:after="0"/>
              <w:rPr>
                <w:sz w:val="20"/>
                <w:szCs w:val="20"/>
                <w:color w:val="auto"/>
              </w:rPr>
            </w:pPr>
            <w:r>
              <w:rPr>
                <w:rFonts w:ascii="Arial" w:cs="Arial" w:eastAsia="Arial" w:hAnsi="Arial"/>
                <w:sz w:val="18"/>
                <w:szCs w:val="18"/>
                <w:color w:val="auto"/>
              </w:rPr>
              <w:t>By:  /s/ Gerard Barron</w:t>
            </w:r>
          </w:p>
        </w:tc>
      </w:tr>
      <w:tr>
        <w:trPr>
          <w:trHeight w:val="195"/>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6440" w:type="dxa"/>
            <w:vAlign w:val="bottom"/>
            <w:gridSpan w:val="2"/>
          </w:tcPr>
          <w:p>
            <w:pPr>
              <w:ind w:left="1540"/>
              <w:spacing w:after="0"/>
              <w:rPr>
                <w:sz w:val="20"/>
                <w:szCs w:val="20"/>
                <w:color w:val="auto"/>
              </w:rPr>
            </w:pPr>
            <w:r>
              <w:rPr>
                <w:rFonts w:ascii="Arial" w:cs="Arial" w:eastAsia="Arial" w:hAnsi="Arial"/>
                <w:sz w:val="18"/>
                <w:szCs w:val="18"/>
                <w:color w:val="auto"/>
              </w:rPr>
              <w:t>By:  /s/ Craig Shesky</w:t>
            </w:r>
          </w:p>
        </w:tc>
      </w:tr>
      <w:tr>
        <w:trPr>
          <w:trHeight w:val="195"/>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firstLine="656"/>
        <w:spacing w:after="0" w:line="277" w:lineRule="auto"/>
        <w:tabs>
          <w:tab w:leader="none" w:pos="8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8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hanging="20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8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8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342" w:lineRule="auto"/>
        <w:tabs>
          <w:tab w:leader="none" w:pos="8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77" w:lineRule="auto"/>
        <w:tabs>
          <w:tab w:leader="none" w:pos="8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225"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firstLine="656"/>
        <w:spacing w:after="0" w:line="277" w:lineRule="auto"/>
        <w:tabs>
          <w:tab w:leader="none" w:pos="8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8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hanging="20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8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8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342" w:lineRule="auto"/>
        <w:tabs>
          <w:tab w:leader="none" w:pos="8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77" w:lineRule="auto"/>
        <w:tabs>
          <w:tab w:leader="none" w:pos="8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4"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6"/>
          <w:szCs w:val="16"/>
          <w:color w:val="auto"/>
        </w:rPr>
        <w:t>/s/ Gerard Barron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6"/>
          <w:szCs w:val="16"/>
          <w:color w:val="auto"/>
        </w:rPr>
        <w:t>/s/ Craig Shesky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lvl w:ilvl="1">
      <w:lvlJc w:val="left"/>
      <w:lvlText w:val="●"/>
      <w:numFmt w:val="bullet"/>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0" Type="http://schemas.openxmlformats.org/officeDocument/2006/relationships/hyperlink" Target="https://www.sec.gov/Archives/edgar/data/1798562/000110465922090666/tm2223376d3_ex10-1.htm" TargetMode="External"/><Relationship Id="rId51" Type="http://schemas.openxmlformats.org/officeDocument/2006/relationships/hyperlink" Target="https://www.sec.gov/Archives/edgar/data/1798562/000110465922090666/tm2223376d3_ex10-2.htm" TargetMode="External"/><Relationship Id="rId52" Type="http://schemas.openxmlformats.org/officeDocument/2006/relationships/hyperlink" Target="https://www.sec.gov/Archives/edgar/data/1798562/000110465922090666/tm2223376d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2022-11-15T08:38:41Z</dcterms:created>
  <dcterms:modified xsi:type="dcterms:W3CDTF">2022-11-15T08:38:41Z</dcterms:modified>
</cp:coreProperties>
</file>