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386080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471805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4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(Amendment No. 1)</w:t>
      </w: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1" w:lineRule="exact"/>
        <w:rPr>
          <w:sz w:val="24"/>
          <w:szCs w:val="24"/>
          <w:color w:val="auto"/>
        </w:rPr>
      </w:pPr>
    </w:p>
    <w:p>
      <w:pPr>
        <w:ind w:left="3730" w:right="3600" w:hanging="3730"/>
        <w:spacing w:after="0" w:line="352" w:lineRule="auto"/>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 For the quarterly period ended September 30, 2022</w:t>
      </w:r>
    </w:p>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7"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3" w:lineRule="exact"/>
        <w:rPr>
          <w:sz w:val="24"/>
          <w:szCs w:val="24"/>
          <w:color w:val="auto"/>
        </w:rPr>
      </w:pPr>
    </w:p>
    <w:p>
      <w:pPr>
        <w:ind w:left="4030"/>
        <w:spacing w:after="0"/>
        <w:tabs>
          <w:tab w:leader="none" w:pos="585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-4445</wp:posOffset>
            </wp:positionV>
            <wp:extent cx="120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-4445</wp:posOffset>
            </wp:positionV>
            <wp:extent cx="120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 w:lineRule="exact"/>
        <w:rPr>
          <w:sz w:val="24"/>
          <w:szCs w:val="24"/>
          <w:color w:val="auto"/>
        </w:rPr>
      </w:pPr>
    </w:p>
    <w:p>
      <w:pPr>
        <w:ind w:left="4110"/>
        <w:spacing w:after="0"/>
        <w:rPr>
          <w:sz w:val="20"/>
          <w:szCs w:val="20"/>
          <w:color w:val="auto"/>
        </w:rPr>
      </w:pPr>
      <w:r>
        <w:rPr>
          <w:rFonts w:ascii="Times New Roman" w:cs="Times New Roman" w:eastAsia="Times New Roman" w:hAnsi="Times New Roman"/>
          <w:sz w:val="13"/>
          <w:szCs w:val="13"/>
          <w:b w:val="1"/>
          <w:bCs w:val="1"/>
          <w:color w:val="auto"/>
        </w:rPr>
        <w:t>Commission File Number: 001-39281</w:t>
      </w:r>
    </w:p>
    <w:p>
      <w:pPr>
        <w:spacing w:after="0" w:line="2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TMC THE METALS COMPANY INC.</w:t>
      </w:r>
    </w:p>
    <w:p>
      <w:pPr>
        <w:spacing w:after="0" w:line="45"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5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88"/>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2"/>
          </w:tcPr>
          <w:p>
            <w:pPr>
              <w:jc w:val="center"/>
              <w:ind w:right="14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36"/>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595 Howe Street, 10th Floor</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vMerge w:val="restart"/>
          </w:tcPr>
          <w:p>
            <w:pPr>
              <w:jc w:val="center"/>
              <w:ind w:right="1528"/>
              <w:spacing w:after="0"/>
              <w:rPr>
                <w:sz w:val="20"/>
                <w:szCs w:val="20"/>
                <w:color w:val="auto"/>
              </w:rPr>
            </w:pPr>
            <w:r>
              <w:rPr>
                <w:rFonts w:ascii="Times New Roman" w:cs="Times New Roman" w:eastAsia="Times New Roman" w:hAnsi="Times New Roman"/>
                <w:sz w:val="14"/>
                <w:szCs w:val="14"/>
                <w:b w:val="1"/>
                <w:bCs w:val="1"/>
                <w:color w:val="auto"/>
              </w:rPr>
              <w:t>V6C 2T5</w:t>
            </w:r>
          </w:p>
        </w:tc>
        <w:tc>
          <w:tcPr>
            <w:tcW w:w="0" w:type="dxa"/>
            <w:vAlign w:val="bottom"/>
          </w:tcPr>
          <w:p>
            <w:pPr>
              <w:spacing w:after="0"/>
              <w:rPr>
                <w:sz w:val="1"/>
                <w:szCs w:val="1"/>
                <w:color w:val="auto"/>
              </w:rPr>
            </w:pPr>
          </w:p>
        </w:tc>
      </w:tr>
      <w:tr>
        <w:trPr>
          <w:trHeight w:val="190"/>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Vancouver, British Columbia</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jc w:val="center"/>
              <w:ind w:right="15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76"/>
        </w:trPr>
        <w:tc>
          <w:tcPr>
            <w:tcW w:w="6600" w:type="dxa"/>
            <w:vAlign w:val="bottom"/>
            <w:gridSpan w:val="3"/>
          </w:tcPr>
          <w:p>
            <w:pPr>
              <w:jc w:val="center"/>
              <w:ind w:left="3548"/>
              <w:spacing w:after="0"/>
              <w:rPr>
                <w:sz w:val="20"/>
                <w:szCs w:val="20"/>
                <w:color w:val="auto"/>
              </w:rPr>
            </w:pPr>
            <w:r>
              <w:rPr>
                <w:rFonts w:ascii="Times New Roman" w:cs="Times New Roman" w:eastAsia="Times New Roman" w:hAnsi="Times New Roman"/>
                <w:sz w:val="14"/>
                <w:szCs w:val="14"/>
                <w:b w:val="1"/>
                <w:bCs w:val="1"/>
                <w:color w:val="auto"/>
              </w:rPr>
              <w:t>(574) 252-9333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gridSpan w:val="4"/>
          </w:tcPr>
          <w:p>
            <w:pPr>
              <w:jc w:val="center"/>
              <w:ind w:left="34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80" w:type="dxa"/>
            <w:vAlign w:val="bottom"/>
            <w:gridSpan w:val="4"/>
          </w:tcPr>
          <w:p>
            <w:pPr>
              <w:jc w:val="center"/>
              <w:ind w:left="344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88"/>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73"/>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08"/>
        </w:trPr>
        <w:tc>
          <w:tcPr>
            <w:tcW w:w="5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TMC</w:t>
            </w:r>
          </w:p>
        </w:tc>
        <w:tc>
          <w:tcPr>
            <w:tcW w:w="1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57"/>
        </w:trPr>
        <w:tc>
          <w:tcPr>
            <w:tcW w:w="5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Redeemable warrants, each whole warrant exercisable for one Common Share, each</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TMCWW</w:t>
            </w:r>
          </w:p>
        </w:tc>
        <w:tc>
          <w:tcPr>
            <w:tcW w:w="100" w:type="dxa"/>
            <w:vAlign w:val="bottom"/>
          </w:tcPr>
          <w:p>
            <w:pPr>
              <w:spacing w:after="0"/>
              <w:rPr>
                <w:sz w:val="22"/>
                <w:szCs w:val="22"/>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at an exercise price of $11.50 per share</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both"/>
        <w:ind w:left="10"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left="10"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left="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050" w:type="dxa"/>
        <w:tblCellMar>
          <w:top w:w="0" w:type="dxa"/>
          <w:left w:w="0" w:type="dxa"/>
          <w:bottom w:w="0" w:type="dxa"/>
          <w:right w:w="0" w:type="dxa"/>
        </w:tblCellMar>
      </w:tblPr>
      <w:tr>
        <w:trPr>
          <w:trHeight w:val="181"/>
        </w:trPr>
        <w:tc>
          <w:tcPr>
            <w:tcW w:w="22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 w:lineRule="exact"/>
        <w:rPr>
          <w:sz w:val="24"/>
          <w:szCs w:val="24"/>
          <w:color w:val="auto"/>
        </w:rPr>
      </w:pPr>
    </w:p>
    <w:p>
      <w:pPr>
        <w:ind w:left="1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10" w:right="290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14, 2022, the registrant had 265,532,666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589915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33020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67310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sole purpose of this Amendment No. 1 to Form 10-Q is to correct a typographical error in the amount of share-based compensation expense for stock options recognized by TMC the metals company Inc. (the “Company”) during the three months ended September 30, 2022 set forth in Note 6 “Share-Based Compensation” to the Company’s Condensed Consolidated Financial Statements included in Item 1 of Part I of the Form 10-Q filed by the Company with the Securities and Exchange Commission on November 14, 2022 (the “Original Form 10-Q”). This Amendment No. 1 to Form 10-Q speaks as of the filing date of the Original Form 10-Q, does not reflect events that may have occurred subsequent to the filing date of the Original Form 10-Q, and does not modify or update in any way disclosures made in the Original Form 10-Q Other than such change.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1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TMC THE METALS COMPANY INC.</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11"/>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00" w:type="dxa"/>
            <w:vAlign w:val="bottom"/>
            <w:gridSpan w:val="14"/>
          </w:tcPr>
          <w:p>
            <w:pPr>
              <w:jc w:val="center"/>
              <w:ind w:right="2260"/>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2022 and December 31, 2021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Loss and Comprehensive Loss for the three and nine months</w:t>
            </w:r>
          </w:p>
        </w:tc>
        <w:tc>
          <w:tcPr>
            <w:tcW w:w="58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2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2022 and 2021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Equity for the three and nine months ended</w:t>
            </w:r>
          </w:p>
        </w:tc>
        <w:tc>
          <w:tcPr>
            <w:tcW w:w="980" w:type="dxa"/>
            <w:vAlign w:val="bottom"/>
            <w:tcBorders>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2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2022 and</w:t>
            </w:r>
          </w:p>
        </w:tc>
        <w:tc>
          <w:tcPr>
            <w:tcW w:w="3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2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2021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our ability to continue as a going concern;</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recently announced private placement financing, including the timing of receipt, and amount, of expected proceeds therefrom;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our plans with respect thereto;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2021 as filed with the Securities and Exchange Commission, or SEC, on March 25, 2022 (the “2021 Annual Report on Form 10-K”), as updated and supplemented under the caption “Risk Factors” in Item 1A of Part II of our Quarterly Report on Form 10-Q for the quarter ended June 30, 2022 as filed with the SEC on August 15, 2022 as further updated and/or supplemented in subsequent filings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contracts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265,529,989 (December 31,</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2021 – 225,432,493))</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(365,552)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117,157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 </w:t>
      </w:r>
      <w:r>
        <w:rPr>
          <w:rFonts w:ascii="Times New Roman" w:cs="Times New Roman" w:eastAsia="Times New Roman" w:hAnsi="Times New Roman"/>
          <w:sz w:val="18"/>
          <w:szCs w:val="18"/>
          <w:i w:val="1"/>
          <w:iCs w:val="1"/>
          <w:color w:val="auto"/>
        </w:rPr>
        <w:t>(Note 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line="196" w:lineRule="auto"/>
        <w:framePr w:w="1200" w:h="160" w:wrap="auto" w:vAnchor="page" w:hAnchor="page" w:x="940" w:y="565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196" w:lineRule="auto"/>
        <w:framePr w:w="1540" w:h="160" w:wrap="auto" w:vAnchor="page" w:hAnchor="page" w:x="1060" w:y="5866"/>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Basic and diluted</w:t>
      </w:r>
    </w:p>
    <w:p>
      <w:pPr>
        <w:spacing w:after="0" w:line="185" w:lineRule="auto"/>
        <w:framePr w:w="1200" w:h="160" w:wrap="auto" w:vAnchor="page" w:hAnchor="page" w:x="940" w:y="367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loss</w:t>
      </w:r>
    </w:p>
    <w:p>
      <w:pPr>
        <w:spacing w:after="0" w:line="196" w:lineRule="auto"/>
        <w:framePr w:w="1360" w:h="160" w:wrap="auto" w:vAnchor="page" w:hAnchor="page" w:x="940" w:y="533"/>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t>Table of Contents</w:t>
      </w: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rFonts w:ascii="Times New Roman" w:cs="Times New Roman" w:eastAsia="Times New Roman" w:hAnsi="Times New Roman"/>
          <w:sz w:val="17"/>
          <w:szCs w:val="17"/>
          <w:b w:val="1"/>
          <w:bCs w:val="1"/>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rFonts w:ascii="Times New Roman" w:cs="Times New Roman" w:eastAsia="Times New Roman" w:hAnsi="Times New Roman"/>
          <w:sz w:val="17"/>
          <w:szCs w:val="17"/>
          <w:b w:val="1"/>
          <w:bCs w:val="1"/>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rFonts w:ascii="Times New Roman" w:cs="Times New Roman" w:eastAsia="Times New Roman" w:hAnsi="Times New Roman"/>
          <w:sz w:val="17"/>
          <w:szCs w:val="17"/>
          <w:b w:val="1"/>
          <w:bCs w:val="1"/>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rFonts w:ascii="Times New Roman" w:cs="Times New Roman" w:eastAsia="Times New Roman" w:hAnsi="Times New Roman"/>
          <w:sz w:val="17"/>
          <w:szCs w:val="17"/>
          <w:b w:val="1"/>
          <w:b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2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40,340</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27,894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61,395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alibri" w:cs="Calibri" w:eastAsia="Calibri" w:hAnsi="Calibri"/>
                <w:sz w:val="18"/>
                <w:szCs w:val="18"/>
                <w:b w:val="1"/>
                <w:bCs w:val="1"/>
                <w:color w:val="auto"/>
              </w:rPr>
              <w:t xml:space="preserve">— </w:t>
            </w:r>
            <w:r>
              <w:rPr>
                <w:rFonts w:ascii="Times New Roman" w:cs="Times New Roman" w:eastAsia="Times New Roman" w:hAnsi="Times New Roman"/>
                <w:sz w:val="18"/>
                <w:szCs w:val="18"/>
                <w:b w:val="1"/>
                <w:bCs w:val="1"/>
                <w:color w:val="auto"/>
              </w:rPr>
              <w:t>basic and diluted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239,740,984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205,248,258</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231,028,587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198,092,309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rFonts w:ascii="Times New Roman" w:cs="Times New Roman" w:eastAsia="Times New Roman" w:hAnsi="Times New Roman"/>
          <w:sz w:val="17"/>
          <w:szCs w:val="17"/>
          <w:b w:val="1"/>
          <w:bCs w:val="1"/>
          <w:u w:val="single" w:color="auto"/>
          <w:color w:val="0000EE"/>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rFonts w:ascii="Times New Roman" w:cs="Times New Roman" w:eastAsia="Times New Roman" w:hAnsi="Times New Roman"/>
          <w:sz w:val="17"/>
          <w:szCs w:val="17"/>
          <w:b w:val="1"/>
          <w:bCs w:val="1"/>
          <w:u w:val="single" w:color="auto"/>
          <w:color w:val="0000EE"/>
        </w:rPr>
      </w:pPr>
    </w:p>
    <w:p>
      <w:pPr>
        <w:spacing w:after="0" w:line="200" w:lineRule="exact"/>
        <w:rPr>
          <w:rFonts w:ascii="Times New Roman" w:cs="Times New Roman" w:eastAsia="Times New Roman" w:hAnsi="Times New Roman"/>
          <w:sz w:val="17"/>
          <w:szCs w:val="17"/>
          <w:b w:val="1"/>
          <w:bCs w:val="1"/>
          <w:u w:val="single" w:color="auto"/>
          <w:color w:val="0000EE"/>
        </w:rPr>
      </w:pPr>
    </w:p>
    <w:p>
      <w:pPr>
        <w:spacing w:after="0" w:line="271" w:lineRule="exact"/>
        <w:rPr>
          <w:rFonts w:ascii="Times New Roman" w:cs="Times New Roman" w:eastAsia="Times New Roman" w:hAnsi="Times New Roman"/>
          <w:sz w:val="17"/>
          <w:szCs w:val="17"/>
          <w:b w:val="1"/>
          <w:bCs w:val="1"/>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60" w:type="dxa"/>
            <w:vAlign w:val="bottom"/>
          </w:tcPr>
          <w:p>
            <w:pPr>
              <w:spacing w:after="0"/>
              <w:rPr>
                <w:sz w:val="15"/>
                <w:szCs w:val="15"/>
                <w:color w:val="auto"/>
              </w:rPr>
            </w:pPr>
          </w:p>
        </w:tc>
        <w:tc>
          <w:tcPr>
            <w:tcW w:w="1720" w:type="dxa"/>
            <w:vAlign w:val="bottom"/>
            <w:gridSpan w:val="7"/>
            <w:vMerge w:val="continue"/>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5"/>
                <w:szCs w:val="15"/>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gridSpan w:val="3"/>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2"/>
                <w:szCs w:val="12"/>
                <w:color w:val="auto"/>
              </w:rPr>
            </w:pPr>
          </w:p>
        </w:tc>
        <w:tc>
          <w:tcPr>
            <w:tcW w:w="7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227,158,455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$ 299,056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113,487</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(337,658)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73,669</w:t>
            </w:r>
          </w:p>
        </w:tc>
        <w:tc>
          <w:tcPr>
            <w:tcW w:w="0" w:type="dxa"/>
            <w:vAlign w:val="bottom"/>
          </w:tcPr>
          <w:p>
            <w:pPr>
              <w:spacing w:after="0"/>
              <w:rPr>
                <w:sz w:val="1"/>
                <w:szCs w:val="1"/>
                <w:color w:val="auto"/>
              </w:rPr>
            </w:pPr>
          </w:p>
        </w:tc>
      </w:tr>
      <w:tr>
        <w:trPr>
          <w:trHeight w:val="126"/>
        </w:trPr>
        <w:tc>
          <w:tcPr>
            <w:tcW w:w="30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under PIPE financing - net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38,266,180</w:t>
            </w:r>
          </w:p>
        </w:tc>
        <w:tc>
          <w:tcPr>
            <w:tcW w:w="4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0" w:type="dxa"/>
            <w:vAlign w:val="bottom"/>
          </w:tcPr>
          <w:p>
            <w:pPr>
              <w:spacing w:after="0"/>
              <w:rPr>
                <w:sz w:val="1"/>
                <w:szCs w:val="1"/>
                <w:color w:val="auto"/>
              </w:rPr>
            </w:pPr>
          </w:p>
        </w:tc>
      </w:tr>
      <w:tr>
        <w:trPr>
          <w:trHeight w:val="171"/>
        </w:trPr>
        <w:tc>
          <w:tcPr>
            <w:tcW w:w="30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proceeds (Note 9)</w:t>
            </w: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30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4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withheld for taxes (Note 6)</w:t>
            </w: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(27,894)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(27,894)</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265,529,989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$ 328,911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116,917</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(365,552)</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79,060</w:t>
            </w:r>
          </w:p>
        </w:tc>
        <w:tc>
          <w:tcPr>
            <w:tcW w:w="0" w:type="dxa"/>
            <w:vAlign w:val="bottom"/>
          </w:tcPr>
          <w:p>
            <w:pPr>
              <w:spacing w:after="0"/>
              <w:rPr>
                <w:sz w:val="1"/>
                <w:szCs w:val="1"/>
                <w:color w:val="auto"/>
              </w:rPr>
            </w:pPr>
          </w:p>
        </w:tc>
      </w:tr>
      <w:tr>
        <w:trPr>
          <w:trHeight w:val="347"/>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60" w:type="dxa"/>
            <w:vAlign w:val="bottom"/>
          </w:tcPr>
          <w:p>
            <w:pPr>
              <w:spacing w:after="0"/>
              <w:rPr>
                <w:sz w:val="12"/>
                <w:szCs w:val="12"/>
                <w:color w:val="auto"/>
              </w:rPr>
            </w:pPr>
          </w:p>
        </w:tc>
        <w:tc>
          <w:tcPr>
            <w:tcW w:w="160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bottom w:val="single" w:sz="8" w:color="auto"/>
            </w:tcBorders>
            <w:gridSpan w:val="6"/>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5"/>
                <w:szCs w:val="15"/>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60" w:type="dxa"/>
            <w:vAlign w:val="bottom"/>
          </w:tcPr>
          <w:p>
            <w:pPr>
              <w:spacing w:after="0"/>
              <w:rPr>
                <w:sz w:val="14"/>
                <w:szCs w:val="14"/>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197,794,399</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$ 188,901</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72,541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(247,708)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13,068</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2,321,967</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9,508</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3,068,672</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0" w:type="dxa"/>
            <w:vAlign w:val="bottom"/>
          </w:tcPr>
          <w:p>
            <w:pPr>
              <w:spacing w:after="0"/>
              <w:rPr>
                <w:sz w:val="1"/>
                <w:szCs w:val="1"/>
                <w:color w:val="auto"/>
              </w:rPr>
            </w:pPr>
          </w:p>
        </w:tc>
      </w:tr>
      <w:tr>
        <w:trPr>
          <w:trHeight w:val="149"/>
        </w:trPr>
        <w:tc>
          <w:tcPr>
            <w:tcW w:w="3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180,485</w:t>
            </w: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60,987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91,326</w:t>
            </w: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shares</w:t>
            </w: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509,458</w:t>
            </w: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(36,651)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203,874,981</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$ 284,228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108,022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(284,359)</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6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26"/>
        </w:trPr>
        <w:tc>
          <w:tcPr>
            <w:tcW w:w="3160" w:type="dxa"/>
            <w:vAlign w:val="bottom"/>
            <w:gridSpan w:val="4"/>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under PIPE financing - net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38,266,180</w:t>
            </w:r>
          </w:p>
        </w:tc>
        <w:tc>
          <w:tcPr>
            <w:tcW w:w="40" w:type="dxa"/>
            <w:vAlign w:val="bottom"/>
          </w:tcPr>
          <w:p>
            <w:pPr>
              <w:spacing w:after="0"/>
              <w:rPr>
                <w:sz w:val="10"/>
                <w:szCs w:val="10"/>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0" w:type="dxa"/>
            <w:vAlign w:val="bottom"/>
          </w:tcPr>
          <w:p>
            <w:pPr>
              <w:spacing w:after="0"/>
              <w:rPr>
                <w:sz w:val="1"/>
                <w:szCs w:val="1"/>
                <w:color w:val="auto"/>
              </w:rPr>
            </w:pPr>
          </w:p>
        </w:tc>
      </w:tr>
      <w:tr>
        <w:trPr>
          <w:trHeight w:val="171"/>
        </w:trPr>
        <w:tc>
          <w:tcPr>
            <w:tcW w:w="31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proceeds (Note 9)</w:t>
            </w: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118,461</w:t>
            </w: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26"/>
        </w:trPr>
        <w:tc>
          <w:tcPr>
            <w:tcW w:w="3160" w:type="dxa"/>
            <w:vAlign w:val="bottom"/>
            <w:gridSpan w:val="4"/>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1,670,429</w:t>
            </w:r>
          </w:p>
        </w:tc>
        <w:tc>
          <w:tcPr>
            <w:tcW w:w="40" w:type="dxa"/>
            <w:vAlign w:val="bottom"/>
          </w:tcPr>
          <w:p>
            <w:pPr>
              <w:spacing w:after="0"/>
              <w:rPr>
                <w:sz w:val="10"/>
                <w:szCs w:val="10"/>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(3,062)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31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withheld for taxes (Note 6)</w:t>
            </w: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42,426</w:t>
            </w:r>
          </w:p>
        </w:tc>
        <w:tc>
          <w:tcPr>
            <w:tcW w:w="40" w:type="dxa"/>
            <w:vAlign w:val="bottom"/>
            <w:shd w:val="clear" w:color="auto" w:fill="CCEEFF"/>
          </w:tcPr>
          <w:p>
            <w:pPr>
              <w:spacing w:after="0"/>
              <w:rPr>
                <w:sz w:val="10"/>
                <w:szCs w:val="10"/>
                <w:color w:val="auto"/>
              </w:rPr>
            </w:pPr>
          </w:p>
        </w:tc>
        <w:tc>
          <w:tcPr>
            <w:tcW w:w="7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1"/>
        </w:trPr>
        <w:tc>
          <w:tcPr>
            <w:tcW w:w="31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 (Note 6)</w:t>
            </w: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17,982</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4"/>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(61,395)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(61,395)</w:t>
            </w:r>
          </w:p>
        </w:tc>
        <w:tc>
          <w:tcPr>
            <w:tcW w:w="0" w:type="dxa"/>
            <w:vAlign w:val="bottom"/>
          </w:tcPr>
          <w:p>
            <w:pPr>
              <w:spacing w:after="0"/>
              <w:rPr>
                <w:sz w:val="1"/>
                <w:szCs w:val="1"/>
                <w:color w:val="auto"/>
              </w:rPr>
            </w:pPr>
          </w:p>
        </w:tc>
      </w:tr>
      <w:tr>
        <w:trPr>
          <w:trHeight w:val="142"/>
        </w:trPr>
        <w:tc>
          <w:tcPr>
            <w:tcW w:w="31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265,529,989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$ 328,911</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116,917</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(365,552)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79,060</w:t>
            </w:r>
          </w:p>
        </w:tc>
        <w:tc>
          <w:tcPr>
            <w:tcW w:w="0" w:type="dxa"/>
            <w:vAlign w:val="bottom"/>
          </w:tcPr>
          <w:p>
            <w:pPr>
              <w:spacing w:after="0"/>
              <w:rPr>
                <w:sz w:val="1"/>
                <w:szCs w:val="1"/>
                <w:color w:val="auto"/>
              </w:rPr>
            </w:pPr>
          </w:p>
        </w:tc>
      </w:tr>
      <w:tr>
        <w:trPr>
          <w:trHeight w:val="401"/>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70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1"/>
                <w:szCs w:val="11"/>
                <w:color w:val="auto"/>
              </w:rPr>
            </w:pPr>
          </w:p>
        </w:tc>
        <w:tc>
          <w:tcPr>
            <w:tcW w:w="540" w:type="dxa"/>
            <w:vAlign w:val="bottom"/>
            <w:gridSpan w:val="4"/>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Paid in</w:t>
            </w:r>
          </w:p>
        </w:tc>
        <w:tc>
          <w:tcPr>
            <w:tcW w:w="60" w:type="dxa"/>
            <w:vAlign w:val="bottom"/>
          </w:tcPr>
          <w:p>
            <w:pPr>
              <w:spacing w:after="0"/>
              <w:rPr>
                <w:sz w:val="11"/>
                <w:szCs w:val="11"/>
                <w:color w:val="auto"/>
              </w:rPr>
            </w:pPr>
          </w:p>
        </w:tc>
        <w:tc>
          <w:tcPr>
            <w:tcW w:w="1180" w:type="dxa"/>
            <w:vAlign w:val="bottom"/>
            <w:gridSpan w:val="5"/>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1"/>
                <w:szCs w:val="11"/>
                <w:color w:val="auto"/>
              </w:rPr>
            </w:pP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6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189,493,593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$ 154,431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6,312,902</w:t>
            </w:r>
          </w:p>
        </w:tc>
        <w:tc>
          <w:tcPr>
            <w:tcW w:w="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26"/>
        </w:trPr>
        <w:tc>
          <w:tcPr>
            <w:tcW w:w="316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 and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40" w:type="dxa"/>
            <w:vAlign w:val="bottom"/>
            <w:shd w:val="clear" w:color="auto" w:fill="CCEEFF"/>
          </w:tcPr>
          <w:p>
            <w:pPr>
              <w:spacing w:after="0"/>
              <w:rPr>
                <w:sz w:val="10"/>
                <w:szCs w:val="10"/>
                <w:color w:val="auto"/>
              </w:rPr>
            </w:pPr>
          </w:p>
        </w:tc>
        <w:tc>
          <w:tcPr>
            <w:tcW w:w="7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31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evaluation expenses</w:t>
            </w: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187,432</w:t>
            </w: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60,987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91,326</w:t>
            </w:r>
          </w:p>
        </w:tc>
        <w:tc>
          <w:tcPr>
            <w:tcW w:w="0" w:type="dxa"/>
            <w:vAlign w:val="bottom"/>
          </w:tcPr>
          <w:p>
            <w:pPr>
              <w:spacing w:after="0"/>
              <w:rPr>
                <w:sz w:val="1"/>
                <w:szCs w:val="1"/>
                <w:color w:val="auto"/>
              </w:rPr>
            </w:pPr>
          </w:p>
        </w:tc>
      </w:tr>
      <w:tr>
        <w:trPr>
          <w:trHeight w:val="149"/>
        </w:trPr>
        <w:tc>
          <w:tcPr>
            <w:tcW w:w="31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3,126,565</w:t>
            </w: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shares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509,458</w:t>
            </w:r>
          </w:p>
        </w:tc>
        <w:tc>
          <w:tcPr>
            <w:tcW w:w="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(121,501)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(121,501)</w:t>
            </w:r>
          </w:p>
        </w:tc>
        <w:tc>
          <w:tcPr>
            <w:tcW w:w="0" w:type="dxa"/>
            <w:vAlign w:val="bottom"/>
          </w:tcPr>
          <w:p>
            <w:pPr>
              <w:spacing w:after="0"/>
              <w:rPr>
                <w:sz w:val="1"/>
                <w:szCs w:val="1"/>
                <w:color w:val="auto"/>
              </w:rPr>
            </w:pPr>
          </w:p>
        </w:tc>
      </w:tr>
      <w:tr>
        <w:trPr>
          <w:trHeight w:val="142"/>
        </w:trPr>
        <w:tc>
          <w:tcPr>
            <w:tcW w:w="3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203,874,981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$ 284,228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(284,359)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00" w:type="dxa"/>
            <w:vAlign w:val="bottom"/>
            <w:gridSpan w:val="3"/>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(61,395)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PIPE financing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(17,945)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66,872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96"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03"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17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26" w:lineRule="exact"/>
        <w:rPr>
          <w:rFonts w:ascii="Times New Roman" w:cs="Times New Roman" w:eastAsia="Times New Roman" w:hAnsi="Times New Roman"/>
          <w:sz w:val="18"/>
          <w:szCs w:val="18"/>
          <w:b w:val="1"/>
          <w:bCs w:val="1"/>
          <w:color w:val="auto"/>
        </w:rPr>
      </w:pPr>
    </w:p>
    <w:p>
      <w:pPr>
        <w:ind w:left="340" w:right="1840"/>
        <w:spacing w:after="0" w:line="4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share and per share amounts have been adjusted to reflect the impact of the Business Combination. Certain comparative figures in note 4 have been reclassified to conform to the current period’s presentation.</w:t>
      </w:r>
    </w:p>
    <w:p>
      <w:pPr>
        <w:spacing w:after="0" w:line="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and warrants liability (Note 5). Actual results could differ materially from those estimates.</w:t>
      </w:r>
    </w:p>
    <w:p>
      <w:pPr>
        <w:spacing w:after="0" w:line="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680" w:right="20" w:hanging="321"/>
        <w:spacing w:after="0" w:line="28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2022 and 2021.</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September 30,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Accounting Policies Adopted during the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Share-Based Compensation on Employee Share Purchase Plan</w:t>
      </w:r>
    </w:p>
    <w:p>
      <w:pPr>
        <w:spacing w:after="0" w:line="22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the Company implemented an employee share purchase plan (the “ESPP”) whereby employees can purchase common shares of the Company at a 15% discount to its share price at the time of purchase, through payroll deductions (Note 6).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8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Certain Modifications or Exchanges of Freestanding Equity-Classified Written Call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May 2021, the Financial Accounting Standards Board (the “FASB”) issued Accounting Standards Update (“ASU”) 2021-04, </w:t>
      </w:r>
      <w:r>
        <w:rPr>
          <w:rFonts w:ascii="Times New Roman" w:cs="Times New Roman" w:eastAsia="Times New Roman" w:hAnsi="Times New Roman"/>
          <w:sz w:val="18"/>
          <w:szCs w:val="18"/>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which clarified and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jc w:val="both"/>
        <w:ind w:left="340" w:right="7860" w:hanging="332"/>
        <w:spacing w:after="0" w:line="530" w:lineRule="auto"/>
        <w:tabs>
          <w:tab w:leader="none" w:pos="3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Exploration Contracts Strategic Partnerships</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Pilot Mining Test Project with Allseas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made the second $10 million payment of the amended Pilot Mining Test Agreement (“PMTA”) on April 25, 2022, upon successful completion of the North Sea drive test on March 25, 2022. The third and final $10 million payment will be payable upon successful completion of the pilot trial of the Pilot Mining Test System (“PMTS”) in NORI Area D. Completion of the pilot trial of the PMTS and third and final payment is expected to occur in the fourth quarter of 2022.</w:t>
      </w:r>
    </w:p>
    <w:p>
      <w:pPr>
        <w:spacing w:after="0" w:line="179" w:lineRule="exact"/>
        <w:rPr>
          <w:rFonts w:ascii="Times New Roman" w:cs="Times New Roman" w:eastAsia="Times New Roman" w:hAnsi="Times New Roman"/>
          <w:sz w:val="17"/>
          <w:szCs w:val="17"/>
          <w:b w:val="1"/>
          <w:bCs w:val="1"/>
          <w:color w:val="auto"/>
        </w:rPr>
      </w:pPr>
    </w:p>
    <w:p>
      <w:pPr>
        <w:jc w:val="both"/>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Total cost recorded as exploration and evaluation expenses for the PMTS during the three and nine months ended September 30, 2022 amounted to $1.3 million and $4 million, respectively (three and nine months ended September 30, 2021 amounted to $12.9 million). The Company has not recorded a liability for the third payment as at September 30, 2022.</w:t>
      </w:r>
    </w:p>
    <w:p>
      <w:pPr>
        <w:spacing w:after="0" w:line="175"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79"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September 30, 2022, Allseas owned 22.7 million TMC common shares (December 31, 2021 – 16.2 million TMC common shares) which constituted 8.6% (December 31, 2021 – 7.2%) of total common shares outstanding.</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9, 2022, the Company and Allseas agreed to settle the third and final payment of $10 million in either cash or shares of the Company, at the Company’s election. With the successful completion of the pilot trial of the PMTS, as approved by the Company’s Board of Directors on November 11, 2022, the Company intends to satisfy the Allseas obligation through the issuance of common shares in the fourth quarter of 2022, subject to regulatory approval (Note 12).</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12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17,950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23,848</w:t>
            </w:r>
          </w:p>
        </w:tc>
        <w:tc>
          <w:tcPr>
            <w:tcW w:w="0" w:type="dxa"/>
            <w:vAlign w:val="bottom"/>
          </w:tcPr>
          <w:p>
            <w:pPr>
              <w:spacing w:after="0"/>
              <w:rPr>
                <w:sz w:val="1"/>
                <w:szCs w:val="1"/>
                <w:color w:val="auto"/>
              </w:rPr>
            </w:pPr>
          </w:p>
        </w:tc>
      </w:tr>
      <w:tr>
        <w:trPr>
          <w:trHeight w:val="347"/>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35,368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40,340</w:t>
            </w:r>
          </w:p>
        </w:tc>
        <w:tc>
          <w:tcPr>
            <w:tcW w:w="0" w:type="dxa"/>
            <w:vAlign w:val="bottom"/>
          </w:tcPr>
          <w:p>
            <w:pPr>
              <w:spacing w:after="0"/>
              <w:rPr>
                <w:sz w:val="1"/>
                <w:szCs w:val="1"/>
                <w:color w:val="auto"/>
              </w:rPr>
            </w:pPr>
          </w:p>
        </w:tc>
      </w:tr>
      <w:tr>
        <w:trPr>
          <w:trHeight w:val="347"/>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200" w:type="dxa"/>
            <w:vAlign w:val="bottom"/>
          </w:tcPr>
          <w:p>
            <w:pPr>
              <w:spacing w:after="0"/>
              <w:rPr>
                <w:sz w:val="12"/>
                <w:szCs w:val="12"/>
                <w:color w:val="auto"/>
              </w:rPr>
            </w:pPr>
          </w:p>
        </w:tc>
        <w:tc>
          <w:tcPr>
            <w:tcW w:w="9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44,004</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55,439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2022, 15,000,000 (December 31, 2021 - 15,000,000)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2022, the value of outstanding Public Warrants of $19.5 million was recorded in additional paid in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September 30, 2022, 9,500,000 Private Warrants were outstanding (December 31, 2021 - 9,500,000).</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September 30, 2022, the fair value of outstanding Private Warrants of $2.2 million is recorded as warrants liability. The following table presents the changes in the fair value of warrants liability:</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Private</w:t>
            </w:r>
          </w:p>
        </w:tc>
      </w:tr>
      <w:tr>
        <w:trPr>
          <w:trHeight w:val="173"/>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fair value of warrants liability</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September 30, 2022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September 30, 2022 and December 31, 2021, the fair value of the Private Warrants was estimated using the following assumptions: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4100" w:type="dxa"/>
            <w:vAlign w:val="bottom"/>
            <w:gridSpan w:val="4"/>
          </w:tcPr>
          <w:p>
            <w:pPr>
              <w:ind w:left="2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2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14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91.72 %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64.6 %</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and nine months ended September 30,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Warrants upon successful completion of the pilot trial of the PMTS in the NORI Area D. No expense or liability has been recorded as at and for the three and nine months ended September 30, 2022.</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With the successful completion of the pilot trial of the PMTS, as approved by the Company’s Board of Directors on November 11, 2022, the 11.6 million Allseas Warrants have vested and are exercisable (Note 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2022, there were 15,356,340 stock options outstanding under the Company’s Short-Term Incentive Plan (“STIP”) and 9,783,922 stock options outstanding under the Company’s Long-Term Incentive Plan (“LTIP”). During the three and nine months ended September 30, 2022, 100,000 STIP stock options and 118,461 STIP stock options, respectively were exercised, and no new options were granted.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nine months ended September 30, 2022, the Company recognized $1.7 million and $9.2 million respectively (three and nine months ended September 30, 2021 - $9.5 million and $55.2 million, respectively) of share-based compensation expense for stock options in the statement of loss and comprehensive loss. For the three and nine months ended September 30, 2022 a total of $0.7 million and $4.6 million respectively, was recorded in exploration and evaluation expenses (three and nine months ended September 30, 2021 - $3 million and $30.6 million, respectively). The amount recorded in general and administration expenses for three and nine months ended September 30, 2022 was $1.0 million and $4.6 million respectively (three and nine months ended September 31, 2021 - $6.4 million and $24.7 million respectively).</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third quarter of 2022, the Company extended the expiry dates of 1,237,329 of its issued stock options in recognition of the continued services provided by the option holders and as a result recorded $0.3 million of share-based compensation expense in general and administrative expenses for the three months and nine months ended September 30, 2022.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details of RSUs granted during the three and nine months ended September 30, 2022 are described below.</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3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Immediately</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1,721,729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Vesting in thirds on each anniversary of the grant date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Vesting fully on the anniversary of the grant date</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476,189</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Out of the 1,721,729 units vesting immediately on grant date, 1,072,572 units were issued to settle liabilities with a carrying amount of $1.8 million at a weighted average grant date fair value of $1.75 per RSU.</w:t>
      </w:r>
    </w:p>
    <w:p>
      <w:pPr>
        <w:spacing w:after="0" w:line="162"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 aggregate of nil and 476,189 units respectively were granted to the Company’s non-employee directors under the Company’s Non-employee Director Compensation Policy, which vest upon the Company’s 2023 annual shareholders meeting. The total fair value of units granted as annual grants to the non-employee directors in the first nine months of 2022 amounted to $700,000 ($nil in the first nine months of 2021).</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a total of 339,007 and 396,691 units respectively were forfeited.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2022, a total of $1.8 million and $5.7 million respectively (three and nine months ended September 30, 2021 - $35 thousand) was charged to the statement of loss and comprehensive loss as share-based compensation expense for RSUs. For the three and nine months ended September 30, 2022, a total of $0.9 million and $2.8 million respectively, was recorded in exploration and evaluation expenses (three and nine months ended September 30, 2021 - $nil). The amount recorded in general and administration expenses for three and nine months ended September 30, 2022 was $0.9 million and $3.0 million respectively (three and nine months ended September 30, 2021- $35 thousand). As at September 30, 2022, total unrecognized share-based compensation expense for RSUs was $7.7 million (December 31, 2021 - $12.3 million).</w:t>
      </w:r>
    </w:p>
    <w:p>
      <w:pPr>
        <w:spacing w:after="0" w:line="189" w:lineRule="exact"/>
        <w:rPr>
          <w:sz w:val="20"/>
          <w:szCs w:val="20"/>
          <w:color w:val="auto"/>
        </w:rPr>
      </w:pPr>
    </w:p>
    <w:p>
      <w:pPr>
        <w:ind w:left="380" w:right="500" w:hanging="38"/>
        <w:spacing w:after="0" w:line="477" w:lineRule="auto"/>
        <w:rPr>
          <w:sz w:val="20"/>
          <w:szCs w:val="20"/>
          <w:color w:val="auto"/>
        </w:rPr>
      </w:pPr>
      <w:r>
        <w:rPr>
          <w:rFonts w:ascii="Times New Roman" w:cs="Times New Roman" w:eastAsia="Times New Roman" w:hAnsi="Times New Roman"/>
          <w:sz w:val="18"/>
          <w:szCs w:val="18"/>
          <w:color w:val="auto"/>
        </w:rPr>
        <w:t xml:space="preserve">As at September 30, 2022, an aggregate of 19,284 vested units were outstanding and due to be converted into common shares. </w:t>
      </w:r>
      <w:r>
        <w:rPr>
          <w:rFonts w:ascii="Times New Roman" w:cs="Times New Roman" w:eastAsia="Times New Roman" w:hAnsi="Times New Roman"/>
          <w:sz w:val="18"/>
          <w:szCs w:val="18"/>
          <w:b w:val="1"/>
          <w:bCs w:val="1"/>
          <w:i w:val="1"/>
          <w:iCs w:val="1"/>
          <w:color w:val="auto"/>
        </w:rPr>
        <w:t>Employee Share Purchase Plan</w:t>
      </w:r>
    </w:p>
    <w:p>
      <w:pPr>
        <w:spacing w:after="0" w:line="1"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On May 31, 2022, TMC’s 2021 Employee Share Purchase Plan was approved at the Company’s 2022 annual shareholders meeting, including the approval of the issuance of up to 5,254,324 common shares under the ESPP. This included 2,254,324 shares added to the ESPP in January 2022 pursuant to the ESPP’s annual increase provision. As per the annual increase provision on the first day of each of the Company’s fiscal years after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8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plan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includes the following limitations:</w:t>
      </w:r>
    </w:p>
    <w:p>
      <w:pPr>
        <w:spacing w:after="0" w:line="225" w:lineRule="exact"/>
        <w:rPr>
          <w:sz w:val="20"/>
          <w:szCs w:val="20"/>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contribution is limited to 15% of the employee’s annual gross earnings, not to exceed $25,000 per year,</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in any offering period cannot exceed 15,000 common shares,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are capped, not to exceed 5% of the Company’s total outstanding common shares</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2022, a total of $39 thousand and $62 thousand respectively was charged to the condensed consolidated statement of loss and comprehensive loss. For the three and nine months ended September 30, 2022, a total of $12 thousand and $21 thousand respectively, was recorded in exploration and evaluation expenses. The amount recorded in general and administration expenses for three and nine months ended September 30, 2022 was $27 thousand and $41 thousand respectively. During the three and nine months ended September 30, 2022, the Company issued nil and 42,426 common shares respectively to its employees as part of its ESPP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66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6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25,140,262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5,021,783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36,078,620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202,514,745</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197,662,478</w:t>
            </w:r>
          </w:p>
        </w:tc>
      </w:tr>
    </w:tbl>
    <w:p>
      <w:pPr>
        <w:spacing w:after="0" w:line="20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DeepGreen Engineering Pte. Ltd., is engaged in a consulting agreement with SSCS Pte. Ltd. (“SSCS”) to manage offshore engineering studies. A director of DGE is employed through SSCS. Consulting services during the three and nine months ended September 30, 2022 totaled $69 thousand and $206 thousand (three and nine months ended September 30, 2021 - $75 thousand and $213 thousand respectively) out of which for three and nine months ended September 30, 2022 a total of $55 thousand and $165 thousand, respectively (three and nine months ended September 30, 2021 - $60 thousand and $170 thousand, respectively) is disclosed as exploration labor within exploration and evaluation expenses (Note 4) and $14 thousand and $41 thousand respectively for three and nine months ended September 30, 2022 is disclosed as general and administration expenses (three and nine months ended September 30, 2021 - $15 thousand and $43 thousand respectively). As at September 30, 2022, the amount payable to SSCS was $nil (December 31, 2021 - $23 thousand).</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and nine months ended September 30, 2022 amounted to $94 thousand and $281 thousand respectively (three and nine months ended September 30, 2021 $93 thousand and $281 thousand), evenly apportioned between exploration and evaluation expenses (Note 4) and general and administration expenses for three and nine months ended September 30, 2022 and September 30, 2021. As at September 30, 2022, the amount payable to Ocean Renaissance was $nil (December 31, 2021 - $nil).</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PIPE Financing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12, 2022, the Company entered into three securities purchase agreements for the private placement of an aggregate of 37,978,680 of the Company’s common shares. The Company entered into a securities purchase agreement (the “PIPE Purchase Agreement”) with the purchasers named therein (the “PIPE Purchasers”)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(the “Barron Purchase Agreement”), and a separate securities purchase agreement with ERAS Capital LLC, the family fund of the Company’s director, Andrei Karkar, for the issuance and sale of 6,250,000 common shares at a purchase price of $0.80 per share (the “ERAS Purchase Agreement”, together with the PIPE Purchase Agreement and the Barron Purchase Agreement, the “Purchase Agreements”). As at September 30, 2022, all of the 37,978,680 shares were issued and the Company received gross proceeds amounting to $30.4 million. The Company incurred $1.0 million as placement agent fees and offering expenses out of which expenses amounting to $0.2 million were settled by issuing 287,500 shares at issue price of $0.80 per share.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right="6440" w:hanging="332"/>
        <w:spacing w:after="0" w:line="503" w:lineRule="auto"/>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Services Agreement with Marawa with respect to the Marawa Area, Marawa and DGE committed to spend a defined amount of funds on exploration activities on an annual basis. The commitment for fiscal 2022, 2023 and 2024 is Australian dollar (“AUD”) $1 million, AUD $3 million and AUD $2 million, respectively. Such commitment is negotiated with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spent approximately $13.3 million in connection with the TOML Exploration Contract from 2017 to 2021. The ISA has reviewed TOML’s periodic review report for the 2017-2021 period and submitted its initial findings at the end of September 2022, which management is currently reviewing.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of its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Gerard Barron and Scott Leonard</w:t>
      </w:r>
      <w:r>
        <w:rPr>
          <w:rFonts w:ascii="Times New Roman" w:cs="Times New Roman" w:eastAsia="Times New Roman" w:hAnsi="Times New Roman"/>
          <w:sz w:val="18"/>
          <w:szCs w:val="18"/>
          <w:color w:val="auto"/>
        </w:rPr>
        <w:t>. The complaint alleges that all defendants violated Section 10(b)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Inc. </w:t>
      </w:r>
      <w:r>
        <w:rPr>
          <w:rFonts w:ascii="Times New Roman" w:cs="Times New Roman" w:eastAsia="Times New Roman" w:hAnsi="Times New Roman"/>
          <w:sz w:val="18"/>
          <w:szCs w:val="18"/>
          <w:color w:val="auto"/>
        </w:rPr>
        <w:t>These cases have been consolidated. On March 6, 2022, a lead plaintiff was selected. An amended complaint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on May 12, 2022, reflecting substantially similar allegations. The Company denies any allegations of wrongdoing and the Company has filed and served the plaintiff a motion to dismiss on July 12, 2022 and intends to defend against this lawsuit. As of September 26, 2022, the motion to dismiss is fully briefed and the parties are awaiting a ruling.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11, 2022, the Company’s Board of Directors agreed with management’s assessment that the criteria for the successful completion of the pilot trial of the PMTS in the NORI Area D, as prescribed in the Strategic Alliance Agreement (SAA) with Allseas, had been met.</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the Company intends to settle the third and final payment of $10 million of the amended PMTA through the issuance of common shares in the fourth quarter of 2022, at a price of $1.00 per share, subject to regulatory approval (Note 4).</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Similarly, with the successful completion of the pilot trial of the PMTS, the 11.6 million Allseas Warrants have vested and are exercisable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2021 Annual Report on Form 10-K. This discussion contains forward looking statements and involves numerous risks and uncertainties, including, but not limited to, those described in “Risk Factors” in Item 1A of Part I of the 2021 Annual Report on Form 10-K, as updated and supplemented under the caption “Risk Factors” in Item 1A of Part II of this Quarterly Report on Form 10-Q, as further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nine months ended September 30, 2022 and 2021, respectively, present the financial position and results of operations of TMC the metals company Inc. and its consolidated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obtains and maintains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two based on the ISA exploration contracts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Group S.A. (“Allseas”), a leading global offshore contractor, which has developed and is currently testing a pilot collection system, expected to be modified into an initial smaller-scale commercial production system and serve as the basis for the design of a full-scale commercial production system and (ii) Glencore International AG (Glencore) holding offtake rights to 50% of NORI nickel and copper production from the NORI area. In addition, we have worked with engineering firm Hatch Ltd. and consultants Kingston Process Metallurgy Inc. to develop a near-zero solid waste flowsheet. The pyrometallurgical stages of the flowsheet were tested as part of our pilot plant program at FLSmidth &amp; Co. A/S’s and XPS Solutions’ (Glencore subsidiary) facilities and bench-scale hydrometallurgical refining work is being carried out with SGS SA. The near-zero solid waste flowsheet provides a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 Together with Epsilon Carbon, we selected a suitable plant site in India, developed and issued a Request for Proposal for Project Zero Pre-feasibility and Feasibility Study. Due to overstressed process engineering capacity across all markets with expertise in Rotary Kiln-Electric arc Furnace (“RKEF”) plants, compliant bids were received in September 2022 later than initially expected, and are currently under review.</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and, subject to regulatory review by the ISA, intend to start commercial production in 2024. To reach our objective, we are: (i) defining our resource and project economics, (ii) developing and testing an offshore nodule collection system, (iii) assessing the ESG impacts of offshore nodule collection, and (iv) developing and testing onshore technology and system to process collected polymetallic nodules into a manganese silicate product, and an intermediate nickel-copper-cobalt matte product and/or end-products like nickel and cobalt sulfates, and copper cathode.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Third Quarter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some of the major developments that occurred in the third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D Project:</w:t>
      </w:r>
    </w:p>
    <w:p>
      <w:pPr>
        <w:spacing w:after="0" w:line="225" w:lineRule="exact"/>
        <w:rPr>
          <w:sz w:val="20"/>
          <w:szCs w:val="20"/>
          <w:color w:val="auto"/>
        </w:rPr>
      </w:pPr>
    </w:p>
    <w:p>
      <w:pPr>
        <w:jc w:val="both"/>
        <w:ind w:left="680" w:hanging="321"/>
        <w:spacing w:after="0" w:line="26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 Zero Research</w:t>
      </w:r>
      <w:r>
        <w:rPr>
          <w:rFonts w:ascii="Times New Roman" w:cs="Times New Roman" w:eastAsia="Times New Roman" w:hAnsi="Times New Roman"/>
          <w:sz w:val="18"/>
          <w:szCs w:val="18"/>
          <w:color w:val="auto"/>
        </w:rPr>
        <w:t>: In July 2022, our Australian subsidiary entered into a research funding agreement with a consortium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led by Australia’s Commonwealth Scientific Industrial Research Organization (CSIRO) to create a framework for the development of an ecosystem-based Environmental Management and Monitoring Plan (EMMP) for our proposed deep-sea polymetallic nodule collection operations in the CCZ.</w:t>
      </w:r>
    </w:p>
    <w:p>
      <w:pPr>
        <w:spacing w:after="0" w:line="17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Pilot Collection System Trials and Monitoring Campaign:</w:t>
      </w:r>
    </w:p>
    <w:p>
      <w:pPr>
        <w:spacing w:after="0" w:line="225" w:lineRule="exact"/>
        <w:rPr>
          <w:rFonts w:ascii="Times New Roman" w:cs="Times New Roman" w:eastAsia="Times New Roman" w:hAnsi="Times New Roman"/>
          <w:sz w:val="18"/>
          <w:szCs w:val="18"/>
          <w:color w:val="auto"/>
        </w:rPr>
      </w:pPr>
    </w:p>
    <w:p>
      <w:pPr>
        <w:jc w:val="both"/>
        <w:ind w:left="1340" w:hanging="333"/>
        <w:spacing w:after="0" w:line="268"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ISA Recommendation: </w:t>
      </w:r>
      <w:r>
        <w:rPr>
          <w:rFonts w:ascii="Times New Roman" w:cs="Times New Roman" w:eastAsia="Times New Roman" w:hAnsi="Times New Roman"/>
          <w:sz w:val="18"/>
          <w:szCs w:val="18"/>
          <w:color w:val="auto"/>
        </w:rPr>
        <w:t>In September 2022, following the completion of its review of NORI’s Environmental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(EIS) and EMMP, the International Seabed Authority recommended that we proceed with independently monitored pilot collection system trials in NORI Area D in the CCZ.</w:t>
      </w:r>
    </w:p>
    <w:p>
      <w:pPr>
        <w:spacing w:after="0" w:line="170" w:lineRule="exact"/>
        <w:rPr>
          <w:rFonts w:ascii="Times New Roman" w:cs="Times New Roman" w:eastAsia="Times New Roman" w:hAnsi="Times New Roman"/>
          <w:sz w:val="18"/>
          <w:szCs w:val="18"/>
          <w:color w:val="auto"/>
        </w:rPr>
      </w:pPr>
    </w:p>
    <w:p>
      <w:pPr>
        <w:jc w:val="both"/>
        <w:ind w:left="1340" w:hanging="333"/>
        <w:spacing w:after="0" w:line="257"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Start of Trials and Campaign: </w:t>
      </w:r>
      <w:r>
        <w:rPr>
          <w:rFonts w:ascii="Times New Roman" w:cs="Times New Roman" w:eastAsia="Times New Roman" w:hAnsi="Times New Roman"/>
          <w:sz w:val="18"/>
          <w:szCs w:val="18"/>
          <w:color w:val="auto"/>
        </w:rPr>
        <w:t>With the ISA recommendation, the team of engineers at Allseas and scientists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of the world’s leading deep-sea research institutions and contractors, began technology trials and our impact monitoring campaign. The environmental and operational data gathered during these trials will be an important step in ensuring the safe and efficient collection of polymetallic nodules to meet expected demand for critical minerals for the clean energy transition and the ISA’s review of our expected submission of an application for an exploitation contract for the NORI Area 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Financing:</w:t>
      </w:r>
    </w:p>
    <w:p>
      <w:pPr>
        <w:spacing w:after="0" w:line="225" w:lineRule="exact"/>
        <w:rPr>
          <w:sz w:val="20"/>
          <w:szCs w:val="20"/>
          <w:color w:val="auto"/>
        </w:rPr>
      </w:pPr>
    </w:p>
    <w:p>
      <w:pPr>
        <w:jc w:val="both"/>
        <w:ind w:left="680" w:hanging="321"/>
        <w:spacing w:after="0" w:line="259"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PIPE Financing: </w:t>
      </w:r>
      <w:r>
        <w:rPr>
          <w:rFonts w:ascii="Times New Roman" w:cs="Times New Roman" w:eastAsia="Times New Roman" w:hAnsi="Times New Roman"/>
          <w:sz w:val="18"/>
          <w:szCs w:val="18"/>
          <w:color w:val="auto"/>
        </w:rPr>
        <w:t>On August 15, 2022, we announced a private placement financing which raised aggregate gross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$30.4 million (approximately $30 million net proceeds, after deducting placement agent fees and offering expenses) through the issuance of approximately 38.0 million common shares. A majority of the committed funds came from our existing shareholders and insiders. We filed a resale registration statement for the common shares issued to the investors in the financing with the SEC on September 16, 2022, which the SEC declared effective on October 14,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UAW Agreement: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September 2022, we announced that we had entered into a labor neutrality agreement with the International Union, United Automobile, Aerospace and Agricultural Implement Workers of America (“UAW”) designed to bolster the critical mineral supply chain, which we believe lays the groundwork for sustainable production of electric car batteries while also creates a path to potential job growth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September 30, 2022</w:t>
      </w:r>
    </w:p>
    <w:p>
      <w:pPr>
        <w:spacing w:after="0" w:line="225" w:lineRule="exact"/>
        <w:rPr>
          <w:sz w:val="20"/>
          <w:szCs w:val="20"/>
          <w:color w:val="auto"/>
        </w:rPr>
      </w:pPr>
    </w:p>
    <w:p>
      <w:pPr>
        <w:jc w:val="both"/>
        <w:ind w:left="680" w:hanging="321"/>
        <w:spacing w:after="0" w:line="25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 Changes</w:t>
      </w:r>
      <w:r>
        <w:rPr>
          <w:rFonts w:ascii="Times New Roman" w:cs="Times New Roman" w:eastAsia="Times New Roman" w:hAnsi="Times New Roman"/>
          <w:sz w:val="18"/>
          <w:szCs w:val="18"/>
          <w:color w:val="auto"/>
        </w:rPr>
        <w:t>: On October 3, 2022, we announced the appointment of Andrew C. Greig to our Board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 to replace outgoing director Gina Stryker. Mr. Greig brings extensive experience working on international construction projects in the mining sector during a 35-year career at leading engineering, procurement and construction company, Bechtel Group. On November 10, 2022, Mr. Greig was appointed to the Compensation Committee and on November 11, 2022, he was appointed as Lead Independent Director, replacing Andrew Hall. Mr. Hall will remain on the Board of Directors, including as a member of the Audit Committee.</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Collector Test Monitoring</w:t>
      </w:r>
      <w:r>
        <w:rPr>
          <w:rFonts w:ascii="Times New Roman" w:cs="Times New Roman" w:eastAsia="Times New Roman" w:hAnsi="Times New Roman"/>
          <w:sz w:val="18"/>
          <w:szCs w:val="18"/>
          <w:color w:val="auto"/>
        </w:rPr>
        <w:t>: On October 5, 2022, we announced that a multidisciplinary team of independent scientists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leading research institutions around the world and industry-leading contractors commenced the next phase of an extensive environmental baseline and impact monitoring campaign in preparation for NORI’s ongoing pilot nodule collection system trials in NORI Area D area of the CCZ. Scientists aboard a dedicated 103-meter-long monitoring vessel conducted pre-disturbance monitoring studies on a sub-section of the NORI Area D exploration area to establish an environmental baseline before NORI’s offshore strategic partner, Allseas, began testing a system consisting of a prototype nodule collector at the seafloor connected to a riser system to bring nodules to the surface production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Collector Test Milestone</w:t>
      </w:r>
      <w:r>
        <w:rPr>
          <w:rFonts w:ascii="Times New Roman" w:cs="Times New Roman" w:eastAsia="Times New Roman" w:hAnsi="Times New Roman"/>
          <w:sz w:val="18"/>
          <w:szCs w:val="18"/>
          <w:color w:val="auto"/>
        </w:rPr>
        <w:t>: On October 12, 2022, we announced the successful collection of an initial batch of seafloor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polymetallic nodules, which were lifted up a 4-kilometer-long riser system to the surface, in what represents the first integrated collection system test conducted in the CCZ since the 1970s. The dedicated team of 130 crew and engineers aboard the </w:t>
      </w:r>
      <w:r>
        <w:rPr>
          <w:rFonts w:ascii="Times New Roman" w:cs="Times New Roman" w:eastAsia="Times New Roman" w:hAnsi="Times New Roman"/>
          <w:sz w:val="18"/>
          <w:szCs w:val="18"/>
          <w:i w:val="1"/>
          <w:iCs w:val="1"/>
          <w:color w:val="auto"/>
        </w:rPr>
        <w:t>Hidden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Gem </w:t>
      </w:r>
      <w:r>
        <w:rPr>
          <w:rFonts w:ascii="Times New Roman" w:cs="Times New Roman" w:eastAsia="Times New Roman" w:hAnsi="Times New Roman"/>
          <w:sz w:val="18"/>
          <w:szCs w:val="18"/>
          <w:color w:val="auto"/>
        </w:rPr>
        <w:t>commenced initial nodule collection runs, driving the pilot collector 147 meters in one hour on a pre-determined path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collecting 14 tonnes of nodules, while expert industry contractors and independent scientists continued their complex monitoring program to assess the environmental impacts of the collector system trials using an array of over 50 subsea sensors and monitoring stations.</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Changes</w:t>
      </w:r>
      <w:r>
        <w:rPr>
          <w:rFonts w:ascii="Times New Roman" w:cs="Times New Roman" w:eastAsia="Times New Roman" w:hAnsi="Times New Roman"/>
          <w:sz w:val="18"/>
          <w:szCs w:val="18"/>
          <w:color w:val="auto"/>
        </w:rPr>
        <w:t>: On October 20, 2022, we announced the appointment of Grant Lindner as Project Director for NORI,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look to potentially commercialize our first polymetallic nodule project in the NORI Area D. Mr. Lindner has delivered over $26 billion in project value during his 25-year career at Bechtel Group and BHP, holding senior executive roles for large-scale mining, smelter and refinery, material handling and marine projects. Mr. Lindner will play a key role in advancing all areas of the NORI Area D project including the submission of the Environmental Impact Assessment and exploitation application to the ISA, and the safe delivery of offshore and onshore development plans. We also announced that Anthony O’Sullivan had tendered his resignation on October 14, 2022 for personal and health reasons, although he will remain in the position through a twelve-month transition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59"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 Conclusion of NORI Collector Test: </w:t>
      </w:r>
      <w:r>
        <w:rPr>
          <w:rFonts w:ascii="Times New Roman" w:cs="Times New Roman" w:eastAsia="Times New Roman" w:hAnsi="Times New Roman"/>
          <w:sz w:val="18"/>
          <w:szCs w:val="18"/>
          <w:color w:val="auto"/>
        </w:rPr>
        <w:t>On November 14, 2022, we announced that NORI and Allseas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successfully concluded the first integrated system test in the Clarion Clipperton Zone of the Pacific Ocean since the 1970s, achieving all significant pilot milestones while collecting approximately 4,500 tonnes of seafloor polymetallic nodules. Over 3,000 tonnes were transported up a 4.3-kilometer-long riser system to the surface production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while the additional 1,500 tonnes of nodules were purposely left behind on the seafloor as part of the trials.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Marawa, an entity owned and sponsored by Kiribati, was granted the Marawa Exploration Contract on May 30, 2012. DGE, our wholly-owned subsidiary, entered into agreements with Marawa and Kiribati which provide DGE with exclusive exploration and exploitation (if awarded)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TOML, our wholly-owned subsidiary, was granted an exploration contract on January 11, 2012 by the ISA and sponsored by the Kingdom of Tonga pursuant to the TOML Exploration Contract . TOML was acquired by us on March 31, 2020 for $32 million from Deep Sea Mining Finance Ltd. (“DSMF”). The TOML Exploration Contract provides TOML with exclusive rights to explore for polymetallic nodules in an area covering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the 2021 Annual Report on Form 10-K, as updated and supplemented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II of this Quarterly Report on Form 10-Q, as further updated and/or supplemented in subsequent filings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Inflation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pre-revenue company, persistent inflation may affect our ultimate cash requirements prior to our ability to begin commercial production.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the global inflation rate has risen sharply. Marine fuel prices and vessel day rates are higher year-over-year and have increased our exploration expenses beyond what we had originally expected. Additionally, we are experiencing higher offshore labor costs through our contractors due to an upturn in the offshore oil and gas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adopting the Task Force on Climate-Related Financial Disclosures recommendations. In our first inaugural impact report published in May 2022, we provided climate-related disclosures and shared how we believe our mission is aligned with supporting a clean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on climate change and create value.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 as disclosed in our 2021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third quarter of 2022, active work comprised the commencement of deep-water test of the full collector system deployed from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 the NORI Area D project area in the CCZ. There were COVID-19 outbreaks, but these were effectively managed and had no impact on the project schedule and delivery of the collector test.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 Item 1A of Part I of the 2021 Annual Report on Form 10-K, as updated and supplemented under the caption “Risk Factors” in Item 1A of Part II of this Quarterly Report on Form 10-Q, as further updated and/or supplemented in subsequent filings with the SEC for more information. We are unable to predict the full impact that the COVID-19 pandemic will have on our future results of operations, liquidity</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disclosed in our 2021 Annual Report on Form 10-K, we have restated our financial statements as of and for the three and six-months period ended June 30, 2021 in the accompanying unaudited condensed consolidated financial statements included in this Quarterly Report on Form 10-Q.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restatement resulted from the following items: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invoices for exploration expenses were not appropriately accrued as of June 30, 2021, resulting in a $2.7 million understatement of each of exploration expenses and accounts payable and accrued liabilities as of and for the six-month period ended June 30, 2021;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expensing of options granted in the first quarter of 2021 under the Company’s Short-Term Incentive Plan (“STIP”) based on the grantee’s historical start date with us rather than the grant date of the options on March 4, 2021, as required by US Generally Accepted Accounting Principles (“U.S. GAAP”), resulting in a $1.8 million overstatement of stock-based compensation expenses as of and for the three-month period ended March 31, 2021, and $0.3 million understatement and $1.5 million overstatement of stock-based compensation expenses as of and for the six month period ended June 30,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$25.9 million and $59.4 million for the three and nine months ended September 30, 2022, respectively, compared to a net loss of $36.7 million and $121.5 million in the same periods of 2021, respectively. We have an accumulated deficit of approximately $363.6 million from inception through September 30,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2025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in the first nine months of 2021 resulted from our financing transactions, specifically the convertible debentures issued in February 2021, which accrued interest at 7% per annum. The convertible debentures were fully converted into DeepGreen common shares on September 9, 2021. Interest income recorded in the first nine months of 2022 resulted from the interest earned on the funds we received from the Business Combination which closed in September 2021 and from the PIPE financing which closed in August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reported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nine months ended September 30, 2022 and 2021. Our accounting policies are described in Note 3 “Summary of Significant Accounting Policies” in our financial statements filed as part of the 2021 Annual Report on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as noted)</w:t>
            </w:r>
          </w:p>
        </w:tc>
        <w:tc>
          <w:tcPr>
            <w:tcW w:w="780" w:type="dxa"/>
            <w:vAlign w:val="bottom"/>
          </w:tcPr>
          <w:p>
            <w:pPr>
              <w:spacing w:after="0"/>
              <w:rPr>
                <w:sz w:val="13"/>
                <w:szCs w:val="13"/>
                <w:color w:val="auto"/>
              </w:rPr>
            </w:pPr>
          </w:p>
        </w:tc>
        <w:tc>
          <w:tcPr>
            <w:tcW w:w="2740" w:type="dxa"/>
            <w:vAlign w:val="bottom"/>
            <w:gridSpan w:val="7"/>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8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37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0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8"/>
                <w:szCs w:val="18"/>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(Restated)</w:t>
            </w: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(Restated)</w:t>
            </w:r>
          </w:p>
        </w:tc>
        <w:tc>
          <w:tcPr>
            <w:tcW w:w="1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$ 22,663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$ 23,848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$ 40,340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60" w:type="dxa"/>
            <w:vAlign w:val="bottom"/>
          </w:tcPr>
          <w:p>
            <w:pPr>
              <w:spacing w:after="0"/>
              <w:rPr>
                <w:sz w:val="18"/>
                <w:szCs w:val="18"/>
                <w:color w:val="auto"/>
              </w:rPr>
            </w:pPr>
          </w:p>
        </w:tc>
        <w:tc>
          <w:tcPr>
            <w:tcW w:w="1000" w:type="dxa"/>
            <w:vAlign w:val="bottom"/>
            <w:gridSpan w:val="2"/>
          </w:tcPr>
          <w:p>
            <w:pPr>
              <w:jc w:val="right"/>
              <w:ind w:right="88"/>
              <w:spacing w:after="0" w:line="216" w:lineRule="exact"/>
              <w:rPr>
                <w:sz w:val="20"/>
                <w:szCs w:val="20"/>
                <w:color w:val="auto"/>
              </w:rPr>
            </w:pPr>
            <w:r>
              <w:rPr>
                <w:rFonts w:ascii="Times New Roman" w:cs="Times New Roman" w:eastAsia="Times New Roman" w:hAnsi="Times New Roman"/>
                <w:sz w:val="16"/>
                <w:szCs w:val="16"/>
                <w:color w:val="auto"/>
              </w:rPr>
              <w:t>(55)</w:t>
            </w:r>
            <w:r>
              <w:rPr>
                <w:rFonts w:ascii="Times New Roman" w:cs="Times New Roman" w:eastAsia="Times New Roman" w:hAnsi="Times New Roman"/>
                <w:sz w:val="25"/>
                <w:szCs w:val="25"/>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40" w:type="dxa"/>
            <w:vAlign w:val="bottom"/>
          </w:tcPr>
          <w:p>
            <w:pPr>
              <w:spacing w:after="0"/>
              <w:rPr>
                <w:sz w:val="18"/>
                <w:szCs w:val="18"/>
                <w:color w:val="auto"/>
              </w:rPr>
            </w:pPr>
          </w:p>
        </w:tc>
        <w:tc>
          <w:tcPr>
            <w:tcW w:w="8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000" w:type="dxa"/>
            <w:vAlign w:val="bottom"/>
            <w:gridSpan w:val="2"/>
            <w:shd w:val="clear" w:color="auto" w:fill="CCEEFF"/>
          </w:tcPr>
          <w:p>
            <w:pPr>
              <w:jc w:val="right"/>
              <w:ind w:right="88"/>
              <w:spacing w:after="0" w:line="216" w:lineRule="exact"/>
              <w:rPr>
                <w:sz w:val="20"/>
                <w:szCs w:val="20"/>
                <w:color w:val="auto"/>
              </w:rPr>
            </w:pPr>
            <w:r>
              <w:rPr>
                <w:rFonts w:ascii="Times New Roman" w:cs="Times New Roman" w:eastAsia="Times New Roman" w:hAnsi="Times New Roman"/>
                <w:sz w:val="16"/>
                <w:szCs w:val="16"/>
                <w:color w:val="auto"/>
              </w:rPr>
              <w:t>(60)</w:t>
            </w:r>
            <w:r>
              <w:rPr>
                <w:rFonts w:ascii="Times New Roman" w:cs="Times New Roman" w:eastAsia="Times New Roman" w:hAnsi="Times New Roman"/>
                <w:sz w:val="25"/>
                <w:szCs w:val="25"/>
                <w:color w:val="auto"/>
                <w:vertAlign w:val="sub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(878)</w:t>
            </w:r>
          </w:p>
        </w:tc>
        <w:tc>
          <w:tcPr>
            <w:tcW w:w="8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0" w:type="dxa"/>
            <w:vAlign w:val="bottom"/>
            <w:gridSpan w:val="2"/>
          </w:tcPr>
          <w:p>
            <w:pPr>
              <w:jc w:val="right"/>
              <w:ind w:right="88"/>
              <w:spacing w:after="0" w:line="216" w:lineRule="exact"/>
              <w:rPr>
                <w:sz w:val="20"/>
                <w:szCs w:val="20"/>
                <w:color w:val="auto"/>
              </w:rPr>
            </w:pPr>
            <w:r>
              <w:rPr>
                <w:rFonts w:ascii="Times New Roman" w:cs="Times New Roman" w:eastAsia="Times New Roman" w:hAnsi="Times New Roman"/>
                <w:sz w:val="16"/>
                <w:szCs w:val="16"/>
                <w:color w:val="auto"/>
              </w:rPr>
              <w:t>(320)</w:t>
            </w:r>
            <w:r>
              <w:rPr>
                <w:rFonts w:ascii="Times New Roman" w:cs="Times New Roman" w:eastAsia="Times New Roman" w:hAnsi="Times New Roman"/>
                <w:sz w:val="25"/>
                <w:szCs w:val="25"/>
                <w:color w:val="auto"/>
                <w:vertAlign w:val="subscript"/>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8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(119)</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8"/>
              <w:spacing w:after="0" w:line="216" w:lineRule="exact"/>
              <w:rPr>
                <w:sz w:val="20"/>
                <w:szCs w:val="20"/>
                <w:color w:val="auto"/>
              </w:rPr>
            </w:pPr>
            <w:r>
              <w:rPr>
                <w:rFonts w:ascii="Times New Roman" w:cs="Times New Roman" w:eastAsia="Times New Roman" w:hAnsi="Times New Roman"/>
                <w:sz w:val="16"/>
                <w:szCs w:val="16"/>
                <w:color w:val="auto"/>
              </w:rPr>
              <w:t>(203)</w:t>
            </w:r>
            <w:r>
              <w:rPr>
                <w:rFonts w:ascii="Times New Roman" w:cs="Times New Roman" w:eastAsia="Times New Roman" w:hAnsi="Times New Roman"/>
                <w:sz w:val="25"/>
                <w:szCs w:val="25"/>
                <w:color w:val="auto"/>
                <w:vertAlign w:val="subscript"/>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(154)</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$ 27,894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$ 36,651</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$ 61,395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121,501</w:t>
            </w: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$27.9 million in the third quarter of 2022, compared to $36.7 million in the same period of 2021. The following explains the major reasons for the reduction in the net loss in the third quarter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September 30, 2022 were $22.7 million, compared to $23.8 million for the same period in 2021. The decrease of $1.2 million was primarily due to a decrease in environmental studies of $3.4 million, due to the completion of the NORI Area D baseline campaigns in the fourth quarter of 2021 and a reduction in share-based compensation of $1.4 million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The above expense reductions were partially offset by increased work on the PMTS which progressed in the third quarter of 2022 resulting in increased expenses of $3.7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G&amp;A expenses for the three months ended September 30, 2022 were $5.9 million compared to $13.3 million for the same period in 2021. The decrease of $7.4 million in G&amp;A expenses was mainly the result of lower share-based compensation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This decrease was partially offset by higher G&amp;A expenses in the third quarter of 2022, reflecting an increase in personnel, legal and other expenses associated with being a public company. The third quarter of 2021 also included higher expenses for consulting and communications related to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third quarter of 2022 resulted in a credit of $0.4 million. The credit was primarily due to a 15% decrease in the price of our warrants in the third quarter of 2022. The warrants liability was initially recorded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$59.5 million in the first nine months of 2022, compared to $121.5 million in the same period of 2021. The following explains the major reasons for the reduction in the net loss in the first nine months of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nine months ended September 30, 2022 were $40.3 million, compared to $80.2 million for the same period in 2021. The decrease of $39.8 million was primarily due to a decrease in environmental studies of $23.5 million, due to the completion of the NORI Area D environmental baseline campaigns in the fourth quarter of 2021. In the first nine months of 2021, offshore campaign costs in support of environmental studies included a fair value increase of $12.2 million that was recognized on the issuance of DeepGreen common shares to Maersk Supply Service A/S (“Maersk”). The decrease in the first nine months of 2022 also reflects a reduction in share-based compensation of $23.2 million, as a significant number of stock options were awarded in March 2021, in recognition of past services and in anticipation of the Business Combination, while no stock options were awarded in the first nine months of 2022. The above expense reductions were partially offset by increased work on the PMTS which progressed in the first nine months of 2022 resulting in increased expenses of $6.4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nine months ended September 30, 2022 were $22.5 million compared to $41.1 million for the same period in 2021. The decrease of $18.6 million in G&amp;A expenses in the first nine months of 2022 was mainly the result of lower share-based compensation in the 2022 period as the first nine months of 2021 included the award of a significant number of stock options in recognition of past services and in anticipation of the Business Combination. This decrease was partially offset by higher G&amp;A expenses in the first nine months of 2022, reflecting an increase in personnel, legal and other expenses associated with being a public company. In addition, the first nine months of 2021 included higher expenses for consulting and communications related to the Business Combination.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first nine months of 2022 resulted in a credit of $0.9 million, similar to the same period of 2021. The credit was primarily due to a 39% decrease in the price of our warrants in the first nine months of 2022. The warrants liability was initially recorded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receiving gross cash proceeds of $137.6 million ($104.5 million net of transaction fees), followed by a PIPE financing that we announced on August 15, 2022, which resulted with gross cash proceeds of $30.4 million (approximately $30 million net of transaction fees). As of September 30, 2022, we had cash on hand of $66.9 million.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in sufficient amounts, or at all.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will need and are seeking additional financing to fund our continued operations. These financings could include additional public or private equity, debt financings, equity-linked financings or other sources of financing, including through non-dilutive asset, royalty or project-based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Securities and Exchange Commission, which the SEC declared effective on October 14, 2022, to sell up to $100 million of securities, before any fees or expenses of the offering.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Nine Months Ended September 30, 2022 and September 30,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5"/>
                <w:szCs w:val="15"/>
                <w:color w:val="auto"/>
              </w:rPr>
            </w:pPr>
          </w:p>
        </w:tc>
        <w:tc>
          <w:tcPr>
            <w:tcW w:w="20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 Restated</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 Restated</w:t>
            </w:r>
          </w:p>
        </w:tc>
        <w:tc>
          <w:tcPr>
            <w:tcW w:w="20" w:type="dxa"/>
            <w:vAlign w:val="bottom"/>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134,701</w:t>
            </w:r>
          </w:p>
        </w:tc>
        <w:tc>
          <w:tcPr>
            <w:tcW w:w="20" w:type="dxa"/>
            <w:vAlign w:val="bottom"/>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102,520</w:t>
            </w:r>
          </w:p>
        </w:tc>
        <w:tc>
          <w:tcPr>
            <w:tcW w:w="2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$46.8 million, attributable to a net loss of $59.4 million and an increase in net operating assets and liabilities of $2.9 million, partially offset by non-cash adjustments of $15.5 million. Non-cash adjustments primarily consisted of $16.1 million of expenses settled with share-based payments, partially offset by $0.9 million related to the decrease in the fair value of the Private Warrants, mainly as a result of the decrease in our share price during the first nine months of 2022. The increase in our net operating assets and liabilities was primarily due to a $1.5 million decrease in accounts payable and accrued liabilities in the 2022 period due to the timing of supplier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was $1.0 million for the purchase of equipment, as compared to $3.8 million in the first nine months of 2021, which related primarily to the initial payments made to DSMF in connection with our acquisition of TOML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was $29.8 million, compared to $134.7 million provided by financing activities in the first nine months of 2021. The 2022 results represent the net proceeds from the PIPE financing which we announced in August 2022, while the 2021 comparative includes the net proceeds from the Business Combination of $104.7 million, $26.0 million from the issuance of convertible debentures in February 2021 and $4.2 million from the exercise of incentive stock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15, 2022, we announced a private placement financing with 25 accredited investors, including our Chief Executive Officer and Chairman Gerard Barron and ERAS Capital LLC, and the investment fund of our director Andrei Karkar. Pursuant to three securities purchase agreements we entered into on August 12, 2022, we issued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We received aggregate gross cash proceeds of approximately $30.4 million from the private placement during the quarter ended September 30, 2022 and net cash proceeds of approximately $30 million, after deducting placement agent fees and offering expenses. We filed a resale registration statement for the common shares issued to the investors in the financing with the SEC on September 16, 2022, which the SEC declared effective on October 14,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included a summary of work completed over the previous 5-year period (2017 to 2021) and a work plan and estimated budget for the next five-year period (2022 to 2026).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through the issuance of the Company’s shares.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our progress to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between Marawa and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and such reduction would be dependent upon various factors including the success of the exploration programs and the availability of funding. The ISA has reviewed TOML’s periodic review report for the 2017-2021 period and submitted its initial findings at the end of September 2022, which management is currently reviewing.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obtains and maintains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will pay an administration fee each year to Tonga for such administration and sponsorship, which is subject to review and increase in the event TOML is granted an ISA exploitation contract. On September 23, 2021, Tonga updated the TOML Sponsorship Agreement harmonizing the terms of its engagement with TOML with those held by NORI with Nauru.</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currently being tested by Allseas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made the second $10 million payment to Allseas under the PMTA on April 25, 2022, following the successful completion of the North Sea drive test. The third and final $10 million payment to Allseas became due upon successful completion of the pilot trial of the PMTS in NORI Area D, which we intend to settle through the issuance of common shares in the fourth quarter of 2022, at a price of $1.00 per share, subject to regulatory approval. Additionally, with the successful completion of the pilot trial, the Allseas Warrants vested and are exercisable for 11.6 million common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2021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to the condensed consolidated interim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(the “2020 Annual Report on Form 10-K/A”) and (ii) the other material weakness described below that we are in the process of remediating, our disclosure controls and procedures were not effective as of September 30,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with the SEC on November 15, 2021. These misstatements resulted in the Company having to restate its unaudited condensed consolidated interim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previously disclosed in the 2020 Annual Report on Form 10-K/A,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these material weaknesses, management has concluded that our unaudited condensed consolidated interim financial statements included in this Quarterly Report on Form 10-Q are fairly stated in all material respects in accordance with U.S. GAAP for each of the periods presented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taken the following remediation measures to date:</w:t>
      </w:r>
    </w:p>
    <w:p>
      <w:pPr>
        <w:spacing w:after="0" w:line="225"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to oversee the finance and accounting function;</w:t>
      </w:r>
    </w:p>
    <w:p>
      <w:pPr>
        <w:spacing w:after="0" w:line="27"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transition from our outsourced accounting service provider to our in-house finance and accounting function;</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ind w:left="680" w:right="20" w:hanging="321"/>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ind w:left="680" w:hanging="321"/>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external experts to work with our internal team to assist with our project to design and implement robust controls over all our key processes and address all key company risks; and</w:t>
      </w:r>
    </w:p>
    <w:p>
      <w:pPr>
        <w:ind w:left="680" w:right="20" w:hanging="321"/>
        <w:spacing w:after="0" w:line="26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formality and rigor to our financial reporting process by continuously developing structured roles, policies, processes, procedures and controls.</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and nine months ended September 30, 2022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September 20, 2021, we commenced litigation in the New York Supreme Court, New York County against two investors who failed to fund their PIPE commitments in connection with the closing of the Business Combination. These actions are captioned </w:t>
      </w:r>
      <w:r>
        <w:rPr>
          <w:rFonts w:ascii="Times New Roman" w:cs="Times New Roman" w:eastAsia="Times New Roman" w:hAnsi="Times New Roman"/>
          <w:sz w:val="18"/>
          <w:szCs w:val="18"/>
          <w:i w:val="1"/>
          <w:iCs w:val="1"/>
          <w:color w:val="auto"/>
        </w:rPr>
        <w:t xml:space="preserve">Sustainable Opportunities Acquisition Corp. n/k/a TMC the metals company Inc. v. Ethos Fund I, LP, Ethos GP, LLC, Ethos DeepGreen PIPE, LLC, and Ethos Manager, LLC, </w:t>
      </w:r>
      <w:r>
        <w:rPr>
          <w:rFonts w:ascii="Times New Roman" w:cs="Times New Roman" w:eastAsia="Times New Roman" w:hAnsi="Times New Roman"/>
          <w:sz w:val="18"/>
          <w:szCs w:val="18"/>
          <w:color w:val="auto"/>
        </w:rPr>
        <w:t>Index No. 655527/2021 (N.Y. Sup. Ct.) and</w:t>
      </w:r>
      <w:r>
        <w:rPr>
          <w:rFonts w:ascii="Times New Roman" w:cs="Times New Roman" w:eastAsia="Times New Roman" w:hAnsi="Times New Roman"/>
          <w:sz w:val="18"/>
          <w:szCs w:val="18"/>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Times New Roman" w:cs="Times New Roman" w:eastAsia="Times New Roman" w:hAnsi="Times New Roman"/>
          <w:sz w:val="18"/>
          <w:szCs w:val="18"/>
          <w:color w:val="auto"/>
        </w:rPr>
        <w:t>, Index No. 655528/2021 (N.Y. Sup. Ct.). The operative complaints allege that the investors breached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That motion is pending. There can be no assurances, however, that we will be successful in our efforts against these investors.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us, one of our executive and former Director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Gerard Barron and Scott Leonard</w:t>
      </w:r>
      <w:r>
        <w:rPr>
          <w:rFonts w:ascii="Times New Roman" w:cs="Times New Roman" w:eastAsia="Times New Roman" w:hAnsi="Times New Roman"/>
          <w:sz w:val="18"/>
          <w:szCs w:val="18"/>
          <w:color w:val="auto"/>
        </w:rPr>
        <w:t>. The complaint alleges that all defendants violated Section 10(b)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xml:space="preserve"> These cases have been consolidated. On March 6, 2022, a lead plaintiff was selected. An amended complaint was filed on May 12, 2022, reflecting substantially similar allegations. We deny any allegations of wrongdoing and have filed and served the plaintiff a motion to dismiss on July 12, 2022 and intend to defend against this lawsuit. As of September 26, 2022, the motion to dismiss is fully briefed and the parties are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received letters from the SEC notifying us of an investigation and requesting the voluntary production of documents and information regarding the Company’s March 31, 2020 acquisition of Tonga Offshore Mining Limited from Deep Sea Mining Finance Ltd. and the business combination, completed September 9, 2021, between DeepGreen Metals Inc. and Sustainable Opportunities Acquisition Corporation that led to the Company’s formation. The Company is continuing to cooperate with the investigation and respond voluntarily to the SEC’s requests.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consolidated financial condition or results of operations set forth under Item 1A. Risk Factors in our 2021 Annual Report on Form 10-K and the Form 10-Q filed on August 15, 2022. There have been no material changes from or additions to the risk factors disclosed in our 2021 Annual Report on Form 10-K and the Form 10-Q filed on August 15, 2022. We may disclose changes to risk factors or additional factors from time to time in our future filings with the SEC.</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15, 2022, we announced a private placement financing with 25 accredited investors, including our Chief Executive Officer and Chairman Gerard Barron and ERAS Capital LLC, and the investment fund of our director Andrei Karkar. Pursuant to three securities purchase agreements we entered into on August 12, 2022, we issued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We received aggregate gross cash proceeds of approximately $30.4 million from the private placement during the quarter ended September 30, 2022 and net cash proceeds of approximately $30 million, after deducting placement agent fees and offering expenses.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common shares issued in the private placement financing were issued pursuant to and in accordance with the exemption from registration under Section 4(a)(2) of the Securities Act and/or Regulation D promulgated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and nine months ended September 30, 2022.</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gridSpan w:val="1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Incorporated by Reference Herein from Form or</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 File/ Reg.</w:t>
            </w:r>
          </w:p>
        </w:tc>
        <w:tc>
          <w:tcPr>
            <w:tcW w:w="0" w:type="dxa"/>
            <w:vAlign w:val="bottom"/>
          </w:tcPr>
          <w:p>
            <w:pPr>
              <w:spacing w:after="0"/>
              <w:rPr>
                <w:sz w:val="1"/>
                <w:szCs w:val="1"/>
                <w:color w:val="auto"/>
              </w:rPr>
            </w:pPr>
          </w:p>
        </w:tc>
      </w:tr>
      <w:tr>
        <w:trPr>
          <w:trHeight w:val="173"/>
        </w:trPr>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60" w:type="dxa"/>
            <w:vAlign w:val="bottom"/>
            <w:gridSpan w:val="14"/>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20" w:type="dxa"/>
            <w:vAlign w:val="bottom"/>
            <w:gridSpan w:val="2"/>
            <w:vMerge w:val="continue"/>
          </w:tcPr>
          <w:p>
            <w:pPr>
              <w:spacing w:after="0"/>
              <w:rPr>
                <w:sz w:val="15"/>
                <w:szCs w:val="15"/>
                <w:color w:val="auto"/>
              </w:rPr>
            </w:pP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55"/>
        </w:trPr>
        <w:tc>
          <w:tcPr>
            <w:tcW w:w="280" w:type="dxa"/>
            <w:vAlign w:val="bottom"/>
            <w:tcBorders>
              <w:top w:val="single" w:sz="8" w:color="auto"/>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w w:val="92"/>
              </w:rPr>
              <w:t>10.1</w:t>
            </w:r>
          </w:p>
        </w:tc>
        <w:tc>
          <w:tcPr>
            <w:tcW w:w="48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auto"/>
              <w:bottom w:val="single" w:sz="8" w:color="0000EE"/>
            </w:tcBorders>
            <w:gridSpan w:val="7"/>
            <w:shd w:val="clear" w:color="auto" w:fill="CCEEFF"/>
          </w:tcPr>
          <w:p>
            <w:pPr>
              <w:spacing w:after="0" w:line="155" w:lineRule="exact"/>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Form of Securities Purchase</w:t>
              </w:r>
            </w:hyperlink>
          </w:p>
        </w:tc>
        <w:tc>
          <w:tcPr>
            <w:tcW w:w="440" w:type="dxa"/>
            <w:vAlign w:val="bottom"/>
            <w:tcBorders>
              <w:top w:val="single" w:sz="8" w:color="auto"/>
              <w:bottom w:val="single" w:sz="8" w:color="CCEEFF"/>
            </w:tcBorders>
            <w:gridSpan w:val="6"/>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14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Form 8-K</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jc w:val="right"/>
              <w:ind w:right="81"/>
              <w:spacing w:after="0" w:line="155" w:lineRule="exact"/>
              <w:rPr>
                <w:sz w:val="20"/>
                <w:szCs w:val="20"/>
                <w:color w:val="auto"/>
              </w:rPr>
            </w:pPr>
            <w:r>
              <w:rPr>
                <w:rFonts w:ascii="Times New Roman" w:cs="Times New Roman" w:eastAsia="Times New Roman" w:hAnsi="Times New Roman"/>
                <w:sz w:val="16"/>
                <w:szCs w:val="16"/>
                <w:color w:val="auto"/>
                <w:w w:val="98"/>
              </w:rPr>
              <w:t>8/15/2022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CCEEFF"/>
            </w:tcBorders>
            <w:shd w:val="clear" w:color="auto" w:fill="CCEEFF"/>
          </w:tcPr>
          <w:p>
            <w:pPr>
              <w:jc w:val="right"/>
              <w:ind w:right="203"/>
              <w:spacing w:after="0" w:line="155" w:lineRule="exact"/>
              <w:rPr>
                <w:sz w:val="20"/>
                <w:szCs w:val="20"/>
                <w:color w:val="auto"/>
              </w:rPr>
            </w:pPr>
            <w:r>
              <w:rPr>
                <w:rFonts w:ascii="Times New Roman" w:cs="Times New Roman" w:eastAsia="Times New Roman" w:hAnsi="Times New Roman"/>
                <w:sz w:val="16"/>
                <w:szCs w:val="16"/>
                <w:color w:val="auto"/>
              </w:rPr>
              <w:t>001-39281</w:t>
            </w: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14"/>
            <w:shd w:val="clear" w:color="auto" w:fill="CCEEFF"/>
          </w:tcPr>
          <w:p>
            <w:pPr>
              <w:spacing w:after="0" w:line="183" w:lineRule="exact"/>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Agreement, dated August 12,</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jc w:val="center"/>
              <w:ind w:right="200"/>
              <w:spacing w:after="0" w:line="183" w:lineRule="exact"/>
              <w:rPr>
                <w:sz w:val="20"/>
                <w:szCs w:val="20"/>
                <w:color w:val="auto"/>
              </w:rPr>
            </w:pPr>
            <w:r>
              <w:rPr>
                <w:rFonts w:ascii="Times New Roman" w:cs="Times New Roman" w:eastAsia="Times New Roman" w:hAnsi="Times New Roman"/>
                <w:sz w:val="16"/>
                <w:szCs w:val="16"/>
                <w:color w:val="auto"/>
              </w:rPr>
              <w:t>(Exhibit 10.1)</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0000EE"/>
              <w:right w:val="single" w:sz="8" w:color="CCEEFF"/>
            </w:tcBorders>
            <w:gridSpan w:val="9"/>
            <w:shd w:val="clear" w:color="auto" w:fill="CCEEFF"/>
          </w:tcPr>
          <w:p>
            <w:pPr>
              <w:spacing w:after="0" w:line="183" w:lineRule="exact"/>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2022, by and among TMC the</w:t>
              </w:r>
            </w:hyperlink>
          </w:p>
        </w:tc>
        <w:tc>
          <w:tcPr>
            <w:tcW w:w="48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0000EE"/>
            </w:tcBorders>
            <w:gridSpan w:val="8"/>
            <w:shd w:val="clear" w:color="auto" w:fill="CCEEFF"/>
          </w:tcPr>
          <w:p>
            <w:pPr>
              <w:spacing w:after="0" w:line="183" w:lineRule="exact"/>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metals company Inc. and the</w:t>
              </w:r>
            </w:hyperlink>
          </w:p>
        </w:tc>
        <w:tc>
          <w:tcPr>
            <w:tcW w:w="600" w:type="dxa"/>
            <w:vAlign w:val="bottom"/>
            <w:tcBorders>
              <w:bottom w:val="single" w:sz="8" w:color="CCEEFF"/>
            </w:tcBorders>
            <w:gridSpan w:val="6"/>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14"/>
            <w:shd w:val="clear" w:color="auto" w:fill="CCEEFF"/>
          </w:tcPr>
          <w:p>
            <w:pPr>
              <w:spacing w:after="0" w:line="183" w:lineRule="exact"/>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Purchasers named therein</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w w:val="92"/>
              </w:rPr>
              <w:t>10.2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14"/>
          </w:tcPr>
          <w:p>
            <w:pPr>
              <w:spacing w:after="0" w:line="162" w:lineRule="exact"/>
              <w:rPr>
                <w:rFonts w:ascii="Times New Roman" w:cs="Times New Roman" w:eastAsia="Times New Roman" w:hAnsi="Times New Roman"/>
                <w:sz w:val="16"/>
                <w:szCs w:val="16"/>
                <w:color w:val="0000EE"/>
              </w:rPr>
            </w:pPr>
            <w:hyperlink r:id="rId54">
              <w:r>
                <w:rPr>
                  <w:rFonts w:ascii="Times New Roman" w:cs="Times New Roman" w:eastAsia="Times New Roman" w:hAnsi="Times New Roman"/>
                  <w:sz w:val="16"/>
                  <w:szCs w:val="16"/>
                  <w:color w:val="0000EE"/>
                </w:rPr>
                <w:t>Securities Purchase Agreement,</w:t>
              </w:r>
            </w:hyperlink>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Form 8-K</w:t>
            </w:r>
          </w:p>
        </w:tc>
        <w:tc>
          <w:tcPr>
            <w:tcW w:w="8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98"/>
              </w:rPr>
              <w:t>8/15/2022</w:t>
            </w:r>
          </w:p>
        </w:tc>
        <w:tc>
          <w:tcPr>
            <w:tcW w:w="200" w:type="dxa"/>
            <w:vAlign w:val="bottom"/>
          </w:tcPr>
          <w:p>
            <w:pPr>
              <w:spacing w:after="0"/>
              <w:rPr>
                <w:sz w:val="14"/>
                <w:szCs w:val="14"/>
                <w:color w:val="auto"/>
              </w:rPr>
            </w:pPr>
          </w:p>
        </w:tc>
        <w:tc>
          <w:tcPr>
            <w:tcW w:w="1000" w:type="dxa"/>
            <w:vAlign w:val="bottom"/>
          </w:tcPr>
          <w:p>
            <w:pPr>
              <w:jc w:val="right"/>
              <w:ind w:right="203"/>
              <w:spacing w:after="0" w:line="162" w:lineRule="exact"/>
              <w:rPr>
                <w:sz w:val="20"/>
                <w:szCs w:val="20"/>
                <w:color w:val="auto"/>
              </w:rPr>
            </w:pPr>
            <w:r>
              <w:rPr>
                <w:rFonts w:ascii="Times New Roman" w:cs="Times New Roman" w:eastAsia="Times New Roman" w:hAnsi="Times New Roman"/>
                <w:sz w:val="16"/>
                <w:szCs w:val="16"/>
                <w:color w:val="auto"/>
              </w:rPr>
              <w:t>001-39281</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Borders>
              <w:top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54">
              <w:r>
                <w:rPr>
                  <w:rFonts w:ascii="Times New Roman" w:cs="Times New Roman" w:eastAsia="Times New Roman" w:hAnsi="Times New Roman"/>
                  <w:sz w:val="16"/>
                  <w:szCs w:val="16"/>
                  <w:color w:val="0000EE"/>
                </w:rPr>
                <w:t>dated August 12, 2022, by and</w:t>
              </w:r>
            </w:hyperlink>
          </w:p>
        </w:tc>
        <w:tc>
          <w:tcPr>
            <w:tcW w:w="4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2"/>
          </w:tcPr>
          <w:p>
            <w:pPr>
              <w:jc w:val="center"/>
              <w:ind w:right="200"/>
              <w:spacing w:after="0" w:line="183" w:lineRule="exact"/>
              <w:rPr>
                <w:sz w:val="20"/>
                <w:szCs w:val="20"/>
                <w:color w:val="auto"/>
              </w:rPr>
            </w:pPr>
            <w:r>
              <w:rPr>
                <w:rFonts w:ascii="Times New Roman" w:cs="Times New Roman" w:eastAsia="Times New Roman" w:hAnsi="Times New Roman"/>
                <w:sz w:val="16"/>
                <w:szCs w:val="16"/>
                <w:color w:val="auto"/>
              </w:rPr>
              <w:t>(Exhibit 10.2)</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rFonts w:ascii="Times New Roman" w:cs="Times New Roman" w:eastAsia="Times New Roman" w:hAnsi="Times New Roman"/>
                <w:sz w:val="16"/>
                <w:szCs w:val="16"/>
                <w:color w:val="0000EE"/>
              </w:rPr>
            </w:pPr>
            <w:hyperlink r:id="rId54">
              <w:r>
                <w:rPr>
                  <w:rFonts w:ascii="Times New Roman" w:cs="Times New Roman" w:eastAsia="Times New Roman" w:hAnsi="Times New Roman"/>
                  <w:sz w:val="16"/>
                  <w:szCs w:val="16"/>
                  <w:color w:val="0000EE"/>
                </w:rPr>
                <w:t>among TMC the metals company</w:t>
              </w:r>
            </w:hyperlink>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Borders>
              <w:top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54">
              <w:r>
                <w:rPr>
                  <w:rFonts w:ascii="Times New Roman" w:cs="Times New Roman" w:eastAsia="Times New Roman" w:hAnsi="Times New Roman"/>
                  <w:sz w:val="16"/>
                  <w:szCs w:val="16"/>
                  <w:color w:val="0000EE"/>
                </w:rPr>
                <w:t>Inc. and Gerard Barron</w:t>
              </w:r>
            </w:hyperlink>
          </w:p>
        </w:tc>
        <w:tc>
          <w:tcPr>
            <w:tcW w:w="30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w w:val="92"/>
              </w:rPr>
              <w:t>10.3</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60" w:type="dxa"/>
            <w:vAlign w:val="bottom"/>
            <w:gridSpan w:val="14"/>
            <w:shd w:val="clear" w:color="auto" w:fill="CCEEFF"/>
          </w:tcPr>
          <w:p>
            <w:pPr>
              <w:spacing w:after="0" w:line="162" w:lineRule="exact"/>
              <w:rPr>
                <w:rFonts w:ascii="Times New Roman" w:cs="Times New Roman" w:eastAsia="Times New Roman" w:hAnsi="Times New Roman"/>
                <w:sz w:val="16"/>
                <w:szCs w:val="16"/>
                <w:color w:val="0000EE"/>
              </w:rPr>
            </w:pPr>
            <w:hyperlink r:id="rId55">
              <w:r>
                <w:rPr>
                  <w:rFonts w:ascii="Times New Roman" w:cs="Times New Roman" w:eastAsia="Times New Roman" w:hAnsi="Times New Roman"/>
                  <w:sz w:val="16"/>
                  <w:szCs w:val="16"/>
                  <w:color w:val="0000EE"/>
                </w:rPr>
                <w:t>Securities Purchase Agreement,</w:t>
              </w:r>
            </w:hyperlink>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340" w:type="dxa"/>
            <w:vAlign w:val="bottom"/>
            <w:gridSpan w:val="2"/>
            <w:shd w:val="clear" w:color="auto" w:fill="CCEEFF"/>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Form 8-K</w:t>
            </w:r>
          </w:p>
        </w:tc>
        <w:tc>
          <w:tcPr>
            <w:tcW w:w="8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98"/>
              </w:rPr>
              <w:t>8/15/2022</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3"/>
              <w:spacing w:after="0" w:line="162" w:lineRule="exact"/>
              <w:rPr>
                <w:sz w:val="20"/>
                <w:szCs w:val="20"/>
                <w:color w:val="auto"/>
              </w:rPr>
            </w:pPr>
            <w:r>
              <w:rPr>
                <w:rFonts w:ascii="Times New Roman" w:cs="Times New Roman" w:eastAsia="Times New Roman" w:hAnsi="Times New Roman"/>
                <w:sz w:val="16"/>
                <w:szCs w:val="16"/>
                <w:color w:val="auto"/>
              </w:rPr>
              <w:t>001-39281</w:t>
            </w:r>
          </w:p>
        </w:tc>
        <w:tc>
          <w:tcPr>
            <w:tcW w:w="0" w:type="dxa"/>
            <w:vAlign w:val="bottom"/>
          </w:tcPr>
          <w:p>
            <w:pPr>
              <w:spacing w:after="0"/>
              <w:rPr>
                <w:sz w:val="1"/>
                <w:szCs w:val="1"/>
                <w:color w:val="auto"/>
              </w:rPr>
            </w:pP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0000EE"/>
            </w:tcBorders>
            <w:gridSpan w:val="10"/>
            <w:shd w:val="clear" w:color="auto" w:fill="CCEEFF"/>
          </w:tcPr>
          <w:p>
            <w:pPr>
              <w:spacing w:after="0" w:line="183" w:lineRule="exact"/>
              <w:rPr>
                <w:rFonts w:ascii="Times New Roman" w:cs="Times New Roman" w:eastAsia="Times New Roman" w:hAnsi="Times New Roman"/>
                <w:sz w:val="16"/>
                <w:szCs w:val="16"/>
                <w:color w:val="0000EE"/>
              </w:rPr>
            </w:pPr>
            <w:hyperlink r:id="rId55">
              <w:r>
                <w:rPr>
                  <w:rFonts w:ascii="Times New Roman" w:cs="Times New Roman" w:eastAsia="Times New Roman" w:hAnsi="Times New Roman"/>
                  <w:sz w:val="16"/>
                  <w:szCs w:val="16"/>
                  <w:color w:val="0000EE"/>
                </w:rPr>
                <w:t>dated August 12, 2022, by and</w:t>
              </w:r>
            </w:hyperlink>
          </w:p>
        </w:tc>
        <w:tc>
          <w:tcPr>
            <w:tcW w:w="400" w:type="dxa"/>
            <w:vAlign w:val="bottom"/>
            <w:tcBorders>
              <w:top w:val="single" w:sz="8" w:color="CCEEFF"/>
            </w:tcBorders>
            <w:gridSpan w:val="4"/>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340" w:type="dxa"/>
            <w:vAlign w:val="bottom"/>
            <w:tcBorders>
              <w:top w:val="single" w:sz="8" w:color="CCEEFF"/>
            </w:tcBorders>
            <w:gridSpan w:val="2"/>
            <w:shd w:val="clear" w:color="auto" w:fill="CCEEFF"/>
          </w:tcPr>
          <w:p>
            <w:pPr>
              <w:jc w:val="center"/>
              <w:ind w:right="200"/>
              <w:spacing w:after="0" w:line="183" w:lineRule="exact"/>
              <w:rPr>
                <w:sz w:val="20"/>
                <w:szCs w:val="20"/>
                <w:color w:val="auto"/>
              </w:rPr>
            </w:pPr>
            <w:r>
              <w:rPr>
                <w:rFonts w:ascii="Times New Roman" w:cs="Times New Roman" w:eastAsia="Times New Roman" w:hAnsi="Times New Roman"/>
                <w:sz w:val="16"/>
                <w:szCs w:val="16"/>
                <w:color w:val="auto"/>
              </w:rPr>
              <w:t>(Exhibit 10.3)</w:t>
            </w:r>
          </w:p>
        </w:tc>
        <w:tc>
          <w:tcPr>
            <w:tcW w:w="8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14"/>
            <w:shd w:val="clear" w:color="auto" w:fill="CCEEFF"/>
          </w:tcPr>
          <w:p>
            <w:pPr>
              <w:spacing w:after="0" w:line="183" w:lineRule="exact"/>
              <w:rPr>
                <w:rFonts w:ascii="Times New Roman" w:cs="Times New Roman" w:eastAsia="Times New Roman" w:hAnsi="Times New Roman"/>
                <w:sz w:val="16"/>
                <w:szCs w:val="16"/>
                <w:color w:val="0000EE"/>
              </w:rPr>
            </w:pPr>
            <w:hyperlink r:id="rId55">
              <w:r>
                <w:rPr>
                  <w:rFonts w:ascii="Times New Roman" w:cs="Times New Roman" w:eastAsia="Times New Roman" w:hAnsi="Times New Roman"/>
                  <w:sz w:val="16"/>
                  <w:szCs w:val="16"/>
                  <w:color w:val="0000EE"/>
                </w:rPr>
                <w:t>among TMC the metals company</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0000EE"/>
              <w:bottom w:val="single" w:sz="8" w:color="0000EE"/>
            </w:tcBorders>
            <w:gridSpan w:val="7"/>
            <w:shd w:val="clear" w:color="auto" w:fill="CCEEFF"/>
          </w:tcPr>
          <w:p>
            <w:pPr>
              <w:spacing w:after="0" w:line="183" w:lineRule="exact"/>
              <w:rPr>
                <w:rFonts w:ascii="Times New Roman" w:cs="Times New Roman" w:eastAsia="Times New Roman" w:hAnsi="Times New Roman"/>
                <w:sz w:val="16"/>
                <w:szCs w:val="16"/>
                <w:color w:val="0000EE"/>
              </w:rPr>
            </w:pPr>
            <w:hyperlink r:id="rId55">
              <w:r>
                <w:rPr>
                  <w:rFonts w:ascii="Times New Roman" w:cs="Times New Roman" w:eastAsia="Times New Roman" w:hAnsi="Times New Roman"/>
                  <w:sz w:val="16"/>
                  <w:szCs w:val="16"/>
                  <w:color w:val="0000EE"/>
                </w:rPr>
                <w:t>Inc. and ERAS Capital LLC</w:t>
              </w:r>
            </w:hyperlink>
          </w:p>
        </w:tc>
        <w:tc>
          <w:tcPr>
            <w:tcW w:w="32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tcBorders>
              <w:bottom w:val="single" w:sz="8" w:color="0000EE"/>
            </w:tcBorders>
            <w:gridSpan w:val="2"/>
          </w:tcPr>
          <w:p>
            <w:pPr>
              <w:spacing w:after="0" w:line="162" w:lineRule="exact"/>
              <w:rPr>
                <w:sz w:val="20"/>
                <w:szCs w:val="20"/>
                <w:color w:val="auto"/>
              </w:rPr>
            </w:pPr>
            <w:r>
              <w:rPr>
                <w:rFonts w:ascii="Times New Roman" w:cs="Times New Roman" w:eastAsia="Times New Roman" w:hAnsi="Times New Roman"/>
                <w:sz w:val="16"/>
                <w:szCs w:val="16"/>
                <w:color w:val="0000EE"/>
                <w:w w:val="92"/>
              </w:rPr>
              <w:t>31.</w:t>
            </w:r>
            <w:r>
              <w:rPr>
                <w:rFonts w:ascii="Times New Roman" w:cs="Times New Roman" w:eastAsia="Times New Roman" w:hAnsi="Times New Roman"/>
                <w:sz w:val="16"/>
                <w:szCs w:val="16"/>
                <w:u w:val="single" w:color="auto"/>
                <w:color w:val="0000EE"/>
                <w:w w:val="92"/>
              </w:rPr>
              <w:t>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0000EE"/>
            </w:tcBorders>
            <w:gridSpan w:val="8"/>
          </w:tcPr>
          <w:p>
            <w:pPr>
              <w:spacing w:after="0" w:line="162" w:lineRule="exact"/>
              <w:rPr>
                <w:sz w:val="20"/>
                <w:szCs w:val="20"/>
                <w:color w:val="auto"/>
              </w:rPr>
            </w:pPr>
            <w:r>
              <w:rPr>
                <w:rFonts w:ascii="Times New Roman" w:cs="Times New Roman" w:eastAsia="Times New Roman" w:hAnsi="Times New Roman"/>
                <w:sz w:val="16"/>
                <w:szCs w:val="16"/>
                <w:color w:val="0000EE"/>
              </w:rPr>
              <w:t>Certification of the Principal</w:t>
            </w:r>
          </w:p>
        </w:tc>
        <w:tc>
          <w:tcPr>
            <w:tcW w:w="600" w:type="dxa"/>
            <w:vAlign w:val="bottom"/>
            <w:gridSpan w:val="6"/>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X</w:t>
            </w: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pursuant to</w:t>
            </w:r>
          </w:p>
        </w:tc>
        <w:tc>
          <w:tcPr>
            <w:tcW w:w="48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Section 302 of the Sarbanes-Oxley</w:t>
            </w: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EE"/>
              </w:rPr>
              <w:t>Act of 2002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Borders>
              <w:bottom w:val="single" w:sz="8" w:color="0000EE"/>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w w:val="92"/>
              </w:rPr>
              <w:t>31.</w:t>
            </w:r>
            <w:r>
              <w:rPr>
                <w:rFonts w:ascii="Times New Roman" w:cs="Times New Roman" w:eastAsia="Times New Roman" w:hAnsi="Times New Roman"/>
                <w:sz w:val="16"/>
                <w:szCs w:val="16"/>
                <w:u w:val="single" w:color="auto"/>
                <w:color w:val="0000EE"/>
                <w:w w:val="92"/>
              </w:rPr>
              <w:t>2</w:t>
            </w:r>
          </w:p>
        </w:tc>
        <w:tc>
          <w:tcPr>
            <w:tcW w:w="4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0000EE"/>
            </w:tcBorders>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Certification of the Principal</w:t>
            </w:r>
          </w:p>
        </w:tc>
        <w:tc>
          <w:tcPr>
            <w:tcW w:w="600" w:type="dxa"/>
            <w:vAlign w:val="bottom"/>
            <w:tcBorders>
              <w:bottom w:val="single" w:sz="8" w:color="CCEEFF"/>
            </w:tcBorders>
            <w:gridSpan w:val="6"/>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X</w:t>
            </w:r>
          </w:p>
        </w:tc>
        <w:tc>
          <w:tcPr>
            <w:tcW w:w="3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0000EE"/>
              <w:right w:val="single" w:sz="8" w:color="CCEEFF"/>
            </w:tcBorders>
            <w:gridSpan w:val="9"/>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w:t>
            </w:r>
          </w:p>
        </w:tc>
        <w:tc>
          <w:tcPr>
            <w:tcW w:w="48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0000EE"/>
            </w:tcBorders>
            <w:gridSpan w:val="1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Section 302 of the Sarbanes-Oxley</w:t>
            </w: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0000EE"/>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w w:val="99"/>
              </w:rPr>
              <w:t>Act of 2002</w:t>
            </w:r>
          </w:p>
        </w:tc>
        <w:tc>
          <w:tcPr>
            <w:tcW w:w="168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0000EE"/>
              </w:rPr>
              <w:t>32*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14"/>
          </w:tcPr>
          <w:p>
            <w:pPr>
              <w:spacing w:after="0" w:line="162" w:lineRule="exact"/>
              <w:rPr>
                <w:sz w:val="20"/>
                <w:szCs w:val="20"/>
                <w:color w:val="auto"/>
              </w:rPr>
            </w:pPr>
            <w:r>
              <w:rPr>
                <w:rFonts w:ascii="Times New Roman" w:cs="Times New Roman" w:eastAsia="Times New Roman" w:hAnsi="Times New Roman"/>
                <w:sz w:val="16"/>
                <w:szCs w:val="16"/>
                <w:color w:val="0000EE"/>
              </w:rPr>
              <w:t>Certifications of the Chief</w:t>
            </w: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X</w:t>
            </w: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and Chief</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w:t>
            </w:r>
          </w:p>
        </w:tc>
        <w:tc>
          <w:tcPr>
            <w:tcW w:w="48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Section 906 of the Sarbanes-Oxley</w:t>
            </w: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EE"/>
              </w:rPr>
              <w:t>Act of 2002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X</w:t>
            </w:r>
          </w:p>
        </w:tc>
        <w:tc>
          <w:tcPr>
            <w:tcW w:w="3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instance document does not</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appear in the Interactive Data File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because its XBRL tags 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embedded within the Inline XBRL</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101.SCH</w:t>
            </w:r>
          </w:p>
        </w:tc>
        <w:tc>
          <w:tcPr>
            <w:tcW w:w="24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X</w:t>
            </w: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Extension Schema 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X</w:t>
            </w:r>
          </w:p>
        </w:tc>
        <w:tc>
          <w:tcPr>
            <w:tcW w:w="3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Extension Calculation Linkbase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101.DEF</w:t>
            </w:r>
          </w:p>
        </w:tc>
        <w:tc>
          <w:tcPr>
            <w:tcW w:w="24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X</w:t>
            </w: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Extension Definition Linkbase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X</w:t>
            </w:r>
          </w:p>
        </w:tc>
        <w:tc>
          <w:tcPr>
            <w:tcW w:w="3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Extension Label Linkbase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8"/>
        <w:spacing w:after="0" w:line="261" w:lineRule="auto"/>
        <w:tabs>
          <w:tab w:leader="none" w:pos="1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656"/>
        <w:spacing w:after="0" w:line="266" w:lineRule="auto"/>
        <w:tabs>
          <w:tab w:leader="none" w:pos="8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15d-15(a)];</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8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8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145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840" w:hanging="184"/>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656"/>
        <w:spacing w:after="0" w:line="266" w:lineRule="auto"/>
        <w:tabs>
          <w:tab w:leader="none" w:pos="8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15d-15(a)];</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8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8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1457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10-Q/A for the quarter ended September 30, 2022 (the “Form 10-Q/A”) of the Company fully complies with the requirements of Section 13(a) or 15(d) of the Securities Exchange Act of 1934, and the information contained in the Form 10-Q/A fairly presents, in all material respects, the financial condition and results of operations of the Company.</w:t>
      </w:r>
    </w:p>
    <w:p>
      <w:pPr>
        <w:spacing w:after="0" w:line="216"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November 15, 2022</w:t>
      </w:r>
      <w:r>
        <w:rPr>
          <w:sz w:val="20"/>
          <w:szCs w:val="20"/>
          <w:color w:val="auto"/>
        </w:rPr>
        <w:tab/>
      </w:r>
      <w:r>
        <w:rPr>
          <w:rFonts w:ascii="Times New Roman" w:cs="Times New Roman" w:eastAsia="Times New Roman" w:hAnsi="Times New Roman"/>
          <w:sz w:val="17"/>
          <w:szCs w:val="17"/>
          <w:color w:val="auto"/>
        </w:rPr>
        <w:t>/s/ Gerard Barron</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November 15, 2022</w:t>
      </w:r>
      <w:r>
        <w:rPr>
          <w:sz w:val="20"/>
          <w:szCs w:val="20"/>
          <w:color w:val="auto"/>
        </w:rPr>
        <w:tab/>
      </w:r>
      <w:r>
        <w:rPr>
          <w:rFonts w:ascii="Times New Roman" w:cs="Times New Roman" w:eastAsia="Times New Roman" w:hAnsi="Times New Roman"/>
          <w:sz w:val="17"/>
          <w:szCs w:val="17"/>
          <w:color w:val="auto"/>
        </w:rPr>
        <w:t>/s/ Craig Shesky</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lvl w:ilvl="1">
      <w:lvlJc w:val="left"/>
      <w:lvlText w:val="●"/>
      <w:numFmt w:val="bullet"/>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5"/>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3" Type="http://schemas.openxmlformats.org/officeDocument/2006/relationships/hyperlink" Target="https://www.sec.gov/Archives/edgar/data/1798562/000110465922090666/tm2223376d3_ex10-1.htm" TargetMode="External"/><Relationship Id="rId54" Type="http://schemas.openxmlformats.org/officeDocument/2006/relationships/hyperlink" Target="https://www.sec.gov/Archives/edgar/data/1798562/000110465922090666/tm2223376d3_ex10-2.htm" TargetMode="External"/><Relationship Id="rId55" Type="http://schemas.openxmlformats.org/officeDocument/2006/relationships/hyperlink" Target="https://www.sec.gov/Archives/edgar/data/1798562/000110465922090666/tm2223376d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2022-11-15T07:08:26Z</dcterms:created>
  <dcterms:modified xsi:type="dcterms:W3CDTF">2022-11-15T07:08:26Z</dcterms:modified>
</cp:coreProperties>
</file>